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2,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ON Semiconductor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001-39317</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36-3840979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80" w:space="720"/>
            <w:col w:w="316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5701 N. Pima Road</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Scottsdale, Arizona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85250</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(602) 244-6600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1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2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ON</w:t>
            </w:r>
          </w:p>
        </w:tc>
        <w:tc>
          <w:tcPr>
            <w:tcW w:w="20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ind w:right="1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 and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 2026, ON Semiconductor Corporation announced in a news release its financial performance for the third quarter ended October 2, 2026 and other related material information (the “</w:t>
      </w:r>
      <w:r>
        <w:rPr>
          <w:rFonts w:ascii="Times New Roman" w:cs="Times New Roman" w:eastAsia="Times New Roman" w:hAnsi="Times New Roman"/>
          <w:sz w:val="18"/>
          <w:szCs w:val="18"/>
          <w:b w:val="1"/>
          <w:bCs w:val="1"/>
          <w:i w:val="1"/>
          <w:iCs w:val="1"/>
          <w:color w:val="auto"/>
        </w:rPr>
        <w:t>Earnings Release</w:t>
      </w:r>
      <w:r>
        <w:rPr>
          <w:rFonts w:ascii="Times New Roman" w:cs="Times New Roman" w:eastAsia="Times New Roman" w:hAnsi="Times New Roman"/>
          <w:sz w:val="18"/>
          <w:szCs w:val="18"/>
          <w:color w:val="auto"/>
        </w:rPr>
        <w:t>”). A copy of the Earnings Release is attached hereto as Exhibit 99.1 and incorporated herein by reference.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including Exhibit 99.1, is being furnished under Item 2.02 and shall not be deemed to be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liability under that section, nor shall such information be deemed incorporated by reference in any filing under the Securities Act of 1933, as amended, or the Exchange Act, regardless of any general incorporation language in such filing, except as shall be expressly set forth by specific reference in such filing.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exhibit is furnished as part of this Current Report on Form 8-K.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6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200" w:type="dxa"/>
            <w:vAlign w:val="bottom"/>
          </w:tcPr>
          <w:p>
            <w:pPr>
              <w:spacing w:after="0"/>
              <w:rPr>
                <w:sz w:val="17"/>
                <w:szCs w:val="17"/>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News release for ON Semiconductor Corporation, dated November 2, 2026, announcing financial performance for the third quarter ended</w:t>
            </w:r>
          </w:p>
        </w:tc>
      </w:tr>
      <w:tr>
        <w:trPr>
          <w:trHeight w:val="237"/>
        </w:trPr>
        <w:tc>
          <w:tcPr>
            <w:tcW w:w="32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 2026</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ON SEMICONDUCTOR CORPORATION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1700"/>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By: /s/ Thad Trent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Thad Trent</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onsemi Reports Third Quarter 2026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Earnings growth outpaces revenue growth by 4x year-over-year</w:t>
      </w:r>
    </w:p>
    <w:p>
      <w:pPr>
        <w:spacing w:after="0" w:line="20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SCOTTSDALE, Ariz., – November 2, 2026 – </w:t>
      </w:r>
      <w:r>
        <w:rPr>
          <w:rFonts w:ascii="Times New Roman" w:cs="Times New Roman" w:eastAsia="Times New Roman" w:hAnsi="Times New Roman"/>
          <w:sz w:val="18"/>
          <w:szCs w:val="18"/>
          <w:color w:val="auto"/>
        </w:rPr>
        <w:t>onsemi (the “Company”) (Nasdaq: ON) today announced its third quarter 2026 results with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highlights:</w:t>
      </w:r>
    </w:p>
    <w:p>
      <w:pPr>
        <w:spacing w:after="0" w:line="159" w:lineRule="exact"/>
        <w:rPr>
          <w:sz w:val="20"/>
          <w:szCs w:val="20"/>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$1,722 million, increased 11% year-over-year</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of 41.4% and non-GAAP gross margin of 41.2%</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margin of 22.0% and non-GAAP operating margin 23.2%</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earnings per share of $0.79 and non-GAAP diluted earnings per share $0.90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operations increased by 23% year-over-year to $516 million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$489 million, grew 31% year-over-year to 28% of revenue</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“Increasing power requirements are driving accelerated demand in our AI data center and industrial end markets, as customers adopt and ramp our differentiated products,” said Hassane El-Khoury, President and CEO of onsemi. “Our third quarter revenue, gross margin and earnings per share exceeded the midpoint of our guidance, while AI data center revenue grew 39% sequentially and 175% year-over-year.”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expanded for the fifth consecutive quarter, increasing 190 basis points sequentially. Our results continue to demonstrate the operating leverage in our model, with earnings per share growing more than 40% year-over-year on 11% revenue growth,” said Thad Trent, EVP and CFO of onsemi. “As we execute our ongoing fab right initiatives and ramp new differentiated products, we are driving further margin and earnings expansion, positioning onsemi for durable, profitable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229" w:lineRule="exact"/>
        <w:rPr>
          <w:sz w:val="20"/>
          <w:szCs w:val="20"/>
          <w:color w:val="auto"/>
        </w:rPr>
      </w:pPr>
    </w:p>
    <w:p>
      <w:pPr>
        <w:ind w:left="660" w:right="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Announced an </w:t>
      </w:r>
      <w:r>
        <w:rPr>
          <w:rFonts w:ascii="Times New Roman" w:cs="Times New Roman" w:eastAsia="Times New Roman" w:hAnsi="Times New Roman"/>
          <w:sz w:val="18"/>
          <w:szCs w:val="18"/>
          <w:color w:val="0000F9"/>
        </w:rPr>
        <w:t>agreement to acquire Ferric</w:t>
      </w:r>
      <w:r>
        <w:rPr>
          <w:rFonts w:ascii="Times New Roman" w:cs="Times New Roman" w:eastAsia="Times New Roman" w:hAnsi="Times New Roman"/>
          <w:sz w:val="18"/>
          <w:szCs w:val="18"/>
          <w:color w:val="auto"/>
        </w:rPr>
        <w:t>, establishing onsemi as a leader in next generation AI processor power delivery and raising the AI data center 2030 revenue target by $500 million to greater than $3 billion</w:t>
      </w:r>
    </w:p>
    <w:p>
      <w:pPr>
        <w:ind w:left="660" w:right="1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Announced revised terms for planned </w:t>
      </w:r>
      <w:r>
        <w:rPr>
          <w:rFonts w:ascii="Times New Roman" w:cs="Times New Roman" w:eastAsia="Times New Roman" w:hAnsi="Times New Roman"/>
          <w:sz w:val="18"/>
          <w:szCs w:val="18"/>
          <w:color w:val="0000F9"/>
        </w:rPr>
        <w:t>acquisition of Synaptics</w:t>
      </w:r>
      <w:r>
        <w:rPr>
          <w:rFonts w:ascii="Times New Roman" w:cs="Times New Roman" w:eastAsia="Times New Roman" w:hAnsi="Times New Roman"/>
          <w:sz w:val="18"/>
          <w:szCs w:val="18"/>
          <w:color w:val="auto"/>
        </w:rPr>
        <w:t>, for approximately $5.7 billion in cash compared to $7 billion in stock for the prior agreement, which should make the transaction immediately accretive to non-GAAP EPS</w:t>
      </w:r>
    </w:p>
    <w:p>
      <w:pPr>
        <w:ind w:left="660" w:right="7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Entered into a strategic technology engagement with </w:t>
      </w:r>
      <w:r>
        <w:rPr>
          <w:rFonts w:ascii="Times New Roman" w:cs="Times New Roman" w:eastAsia="Times New Roman" w:hAnsi="Times New Roman"/>
          <w:sz w:val="18"/>
          <w:szCs w:val="18"/>
          <w:color w:val="0000F9"/>
        </w:rPr>
        <w:t>Subaru</w:t>
      </w:r>
      <w:r>
        <w:rPr>
          <w:rFonts w:ascii="Times New Roman" w:cs="Times New Roman" w:eastAsia="Times New Roman" w:hAnsi="Times New Roman"/>
          <w:sz w:val="18"/>
          <w:szCs w:val="18"/>
          <w:color w:val="auto"/>
        </w:rPr>
        <w:t xml:space="preserve"> for early access to the newly introduced </w:t>
      </w:r>
      <w:r>
        <w:rPr>
          <w:rFonts w:ascii="Times New Roman" w:cs="Times New Roman" w:eastAsia="Times New Roman" w:hAnsi="Times New Roman"/>
          <w:sz w:val="18"/>
          <w:szCs w:val="18"/>
          <w:color w:val="0000F9"/>
        </w:rPr>
        <w:t>Embedded Power Platform (EPP)</w:t>
      </w:r>
      <w:r>
        <w:rPr>
          <w:rFonts w:ascii="Times New Roman" w:cs="Times New Roman" w:eastAsia="Times New Roman" w:hAnsi="Times New Roman"/>
          <w:sz w:val="18"/>
          <w:szCs w:val="18"/>
          <w:color w:val="auto"/>
        </w:rPr>
        <w:t>, a breakthrough power architecture integrating heterogeneous technologies</w:t>
      </w:r>
    </w:p>
    <w:p>
      <w:pPr>
        <w:ind w:left="660" w:right="38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9"/>
        </w:rPr>
        <w:t xml:space="preserve">Sungrow </w:t>
      </w:r>
      <w:r>
        <w:rPr>
          <w:rFonts w:ascii="Times New Roman" w:cs="Times New Roman" w:eastAsia="Times New Roman" w:hAnsi="Times New Roman"/>
          <w:sz w:val="18"/>
          <w:szCs w:val="18"/>
          <w:color w:val="000000"/>
        </w:rPr>
        <w:t>adopted onsemi’s latest EliteSiC silicon carbide (SiC) hybrid power module technology which helps energy providers meet growing</w:t>
      </w:r>
      <w:r>
        <w:rPr>
          <w:rFonts w:ascii="Times New Roman" w:cs="Times New Roman" w:eastAsia="Times New Roman" w:hAnsi="Times New Roman"/>
          <w:sz w:val="18"/>
          <w:szCs w:val="18"/>
          <w:color w:val="0000F9"/>
        </w:rPr>
        <w:t xml:space="preserve"> </w:t>
      </w:r>
      <w:r>
        <w:rPr>
          <w:rFonts w:ascii="Times New Roman" w:cs="Times New Roman" w:eastAsia="Times New Roman" w:hAnsi="Times New Roman"/>
          <w:sz w:val="18"/>
          <w:szCs w:val="18"/>
          <w:color w:val="000000"/>
        </w:rPr>
        <w:t>electricity demand from AI, renewable energy and electrification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results for the quarter are shown below with comparable periods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8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GAAP</w:t>
            </w:r>
          </w:p>
        </w:tc>
        <w:tc>
          <w:tcPr>
            <w:tcW w:w="4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3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and Net Income in millions)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Q3 2026</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Q2 2026</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Q3 2026</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Q2 2026</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100" w:type="dxa"/>
            <w:vAlign w:val="bottom"/>
          </w:tcPr>
          <w:p>
            <w:pPr>
              <w:spacing w:after="0"/>
              <w:rPr>
                <w:sz w:val="19"/>
                <w:szCs w:val="19"/>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1,722.3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1,603.5</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1,550.9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1,603.5</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1,550.9</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41.4%</w:t>
            </w:r>
          </w:p>
        </w:tc>
        <w:tc>
          <w:tcPr>
            <w:tcW w:w="32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38.4%</w:t>
            </w:r>
          </w:p>
        </w:tc>
        <w:tc>
          <w:tcPr>
            <w:tcW w:w="42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16.1%</w:t>
            </w:r>
          </w:p>
        </w:tc>
        <w:tc>
          <w:tcPr>
            <w:tcW w:w="4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Semiconductor Corporation</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313.9</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226.8</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255.0</w:t>
            </w:r>
          </w:p>
        </w:tc>
        <w:tc>
          <w:tcPr>
            <w:tcW w:w="200" w:type="dxa"/>
            <w:vAlign w:val="bottom"/>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293.8</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256.3</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0.79</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0.56</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0.63</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0.74</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0.63</w:t>
            </w:r>
          </w:p>
        </w:tc>
      </w:tr>
      <w:tr>
        <w:trPr>
          <w:trHeight w:val="557"/>
        </w:trPr>
        <w:tc>
          <w:tcPr>
            <w:tcW w:w="3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1</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26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Revenue Summary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3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Q3 2026</w:t>
            </w:r>
          </w:p>
        </w:tc>
        <w:tc>
          <w:tcPr>
            <w:tcW w:w="460" w:type="dxa"/>
            <w:vAlign w:val="bottom"/>
          </w:tcPr>
          <w:p>
            <w:pPr>
              <w:spacing w:after="0"/>
              <w:rPr>
                <w:sz w:val="17"/>
                <w:szCs w:val="17"/>
                <w:color w:val="auto"/>
              </w:rPr>
            </w:pPr>
          </w:p>
        </w:tc>
        <w:tc>
          <w:tcPr>
            <w:tcW w:w="9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Q2 2026</w:t>
            </w:r>
          </w:p>
        </w:tc>
        <w:tc>
          <w:tcPr>
            <w:tcW w:w="380" w:type="dxa"/>
            <w:vAlign w:val="bottom"/>
          </w:tcPr>
          <w:p>
            <w:pPr>
              <w:spacing w:after="0"/>
              <w:rPr>
                <w:sz w:val="17"/>
                <w:szCs w:val="17"/>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1260" w:type="dxa"/>
            <w:vAlign w:val="bottom"/>
          </w:tcPr>
          <w:p>
            <w:pPr>
              <w:jc w:val="right"/>
              <w:ind w:right="230"/>
              <w:spacing w:after="0" w:line="195" w:lineRule="exact"/>
              <w:rPr>
                <w:sz w:val="20"/>
                <w:szCs w:val="20"/>
                <w:color w:val="auto"/>
              </w:rPr>
            </w:pPr>
            <w:r>
              <w:rPr>
                <w:rFonts w:ascii="Times New Roman" w:cs="Times New Roman" w:eastAsia="Times New Roman" w:hAnsi="Times New Roman"/>
                <w:sz w:val="18"/>
                <w:szCs w:val="18"/>
                <w:i w:val="1"/>
                <w:iCs w:val="1"/>
                <w:color w:val="auto"/>
              </w:rPr>
              <w:t>Sequential</w:t>
            </w:r>
          </w:p>
        </w:tc>
        <w:tc>
          <w:tcPr>
            <w:tcW w:w="11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w w:val="97"/>
              </w:rPr>
              <w:t>Year-over-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Change</w:t>
            </w: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w w:val="97"/>
              </w:rPr>
              <w:t>Year Change</w:t>
            </w:r>
          </w:p>
        </w:tc>
        <w:tc>
          <w:tcPr>
            <w:tcW w:w="0" w:type="dxa"/>
            <w:vAlign w:val="bottom"/>
          </w:tcPr>
          <w:p>
            <w:pPr>
              <w:spacing w:after="0"/>
              <w:rPr>
                <w:sz w:val="1"/>
                <w:szCs w:val="1"/>
                <w:color w:val="auto"/>
              </w:rPr>
            </w:pPr>
          </w:p>
        </w:tc>
      </w:tr>
      <w:tr>
        <w:trPr>
          <w:trHeight w:val="216"/>
        </w:trPr>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PSG</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4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829.0</w:t>
            </w:r>
          </w:p>
        </w:tc>
        <w:tc>
          <w:tcPr>
            <w:tcW w:w="3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2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AMG</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4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545.7</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2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ISG</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228.8</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1,603.5</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1,550.9</w:t>
            </w:r>
          </w:p>
        </w:tc>
        <w:tc>
          <w:tcPr>
            <w:tcW w:w="22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FOURTH QUARTER 2026 OUTLOOK</w:t>
            </w:r>
          </w:p>
        </w:tc>
        <w:tc>
          <w:tcPr>
            <w:tcW w:w="1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outlines onsemi’s projected fourth quarter of 2026 GAAP and non-GAAP outlook.</w:t>
            </w:r>
          </w:p>
        </w:tc>
        <w:tc>
          <w:tcPr>
            <w:tcW w:w="1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140" w:type="dxa"/>
            <w:vAlign w:val="bottom"/>
          </w:tcPr>
          <w:p>
            <w:pPr>
              <w:spacing w:after="0"/>
              <w:rPr>
                <w:sz w:val="24"/>
                <w:szCs w:val="24"/>
                <w:color w:val="auto"/>
              </w:rPr>
            </w:pPr>
          </w:p>
        </w:tc>
        <w:tc>
          <w:tcPr>
            <w:tcW w:w="1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Total onsemi</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Special</w:t>
            </w:r>
          </w:p>
        </w:tc>
        <w:tc>
          <w:tcPr>
            <w:tcW w:w="1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Total onsemi</w:t>
            </w:r>
          </w:p>
        </w:tc>
        <w:tc>
          <w:tcPr>
            <w:tcW w:w="100" w:type="dxa"/>
            <w:vAlign w:val="bottom"/>
          </w:tcPr>
          <w:p>
            <w:pPr>
              <w:spacing w:after="0"/>
              <w:rPr>
                <w:sz w:val="24"/>
                <w:szCs w:val="24"/>
                <w:color w:val="auto"/>
              </w:rPr>
            </w:pPr>
          </w:p>
        </w:tc>
      </w:tr>
      <w:tr>
        <w:trPr>
          <w:trHeight w:val="241"/>
        </w:trPr>
        <w:tc>
          <w:tcPr>
            <w:tcW w:w="6140" w:type="dxa"/>
            <w:vAlign w:val="bottom"/>
          </w:tcPr>
          <w:p>
            <w:pPr>
              <w:spacing w:after="0"/>
              <w:rPr>
                <w:sz w:val="20"/>
                <w:szCs w:val="20"/>
                <w:color w:val="auto"/>
              </w:rPr>
            </w:pPr>
          </w:p>
        </w:tc>
        <w:tc>
          <w:tcPr>
            <w:tcW w:w="1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GAAP</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Items **</w:t>
            </w:r>
          </w:p>
        </w:tc>
        <w:tc>
          <w:tcPr>
            <w:tcW w:w="19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Non-GAAP***</w:t>
            </w:r>
          </w:p>
        </w:tc>
        <w:tc>
          <w:tcPr>
            <w:tcW w:w="100" w:type="dxa"/>
            <w:vAlign w:val="bottom"/>
          </w:tcPr>
          <w:p>
            <w:pPr>
              <w:spacing w:after="0"/>
              <w:rPr>
                <w:sz w:val="20"/>
                <w:szCs w:val="20"/>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$1,715 to $1,815 million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$1,715 to $1,815 million</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41.4% to 43.4%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9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41.5% to 43.5%</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$331 to $346 million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 million</w:t>
            </w:r>
          </w:p>
        </w:tc>
        <w:tc>
          <w:tcPr>
            <w:tcW w:w="19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$303 to $318 million</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and Expense (including interest), net</w:t>
            </w:r>
          </w:p>
        </w:tc>
        <w:tc>
          <w:tcPr>
            <w:tcW w:w="1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($27 million)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($27 million)</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9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$0.88 to $1.00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$0.07</w:t>
            </w:r>
          </w:p>
        </w:tc>
        <w:tc>
          <w:tcPr>
            <w:tcW w:w="19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$0.95 to $1.07</w:t>
            </w:r>
          </w:p>
        </w:tc>
        <w:tc>
          <w:tcPr>
            <w:tcW w:w="100" w:type="dxa"/>
            <w:vAlign w:val="bottom"/>
            <w:shd w:val="clear" w:color="auto" w:fill="CCEEFF"/>
          </w:tcPr>
          <w:p>
            <w:pPr>
              <w:spacing w:after="0"/>
              <w:rPr>
                <w:sz w:val="18"/>
                <w:szCs w:val="18"/>
                <w:color w:val="auto"/>
              </w:rPr>
            </w:pP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Diluted Shares Outstanding *</w:t>
            </w:r>
          </w:p>
        </w:tc>
        <w:tc>
          <w:tcPr>
            <w:tcW w:w="1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397 million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million</w:t>
            </w:r>
          </w:p>
        </w:tc>
        <w:tc>
          <w:tcPr>
            <w:tcW w:w="19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392 million</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660" w:right="20" w:hanging="652"/>
        <w:spacing w:after="0" w:line="25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shares outstanding can vary as a result of, among other things, the vesting of restricted stock units, the incremental dilutive shares from the convertible notes, and the repurchase or the issuance of stock or convertible notes or the sale of treasury shares. In periods when the quarterly average stock price per share exceeds $52.97 for the 0% Convertible Senior Notes due 2027 (the “0% Notes”), $103.87 for the 0.50% Convertible Senior Notes due 2029 (the “0.50% Notes”), and $161.30 for the 0% Convertible Senior Notes due 2031 (the “2031 0% Notes”), the non-GAAP diluted share count and non-GAAP net income per share include the anti-dilutive impact of the hedge transactions entered concurrently with the 0% Notes, the 0.50% Notes, and the 2031 0% Notes, respectively. At an average stock price per share between $52.97 and $74.34 for the 0% Notes, $103.87 and $156.78 for the 0.50% Notes, and $161.30 and $211.54 for the 2031 0% Notes, the hedging activity offsets the potentially dilutive effect of the 0% Notes, the 0.50% Notes, and the 2031 0% Notes, respectively. In periods when the quarterly average stock price exceeds $74.34 for the 0% Notes, $156.78 for the 0.50% Notes, and $211.54 for the 2031 0% Notes, the dilutive impact of the warrants issued concurrently with such notes is included in the diluted shares outstanding. GAAP and non-GAAP diluted share counts are based on either the previous quarter's average stock price or the stock price as of the last day of the previous quarter, whichever is higher.</w:t>
      </w:r>
    </w:p>
    <w:p>
      <w:pPr>
        <w:spacing w:after="0" w:line="192" w:lineRule="exact"/>
        <w:rPr>
          <w:sz w:val="20"/>
          <w:szCs w:val="20"/>
          <w:color w:val="auto"/>
        </w:rPr>
      </w:pPr>
    </w:p>
    <w:p>
      <w:pPr>
        <w:ind w:left="660" w:right="20" w:hanging="652"/>
        <w:spacing w:after="0" w:line="25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items may include: amortization of acquisition-related intangibles; expensing of appraised inventory fair market value step-up; restructuring-related cost of revenue charges; non-recurring facility costs; in-process research and development expenses; restructuring, asset impairments and other, net; goodwill impairment charges; gains and losses on debt prepayment; actuarial (gains) losses on pension plans and other pension benefits; and certain other special items, as necessary. These special items are out of our control and could change significantly from period to period. As a result, we are not able to reasonably estimate and separately present the individual impact or probable significance of these special items, and we are similarly unable to provide a reconciliation of the non-GAAP measures. The reconciliation that is unavailable would include a forward-looking income statement, balance sheet and statement of cash flows in accordance with GAAP. For this reason, we use a projected range of the aggregate amount of special items in order to calculate our projected non-GAAP operating expense outlook.</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660" w:right="100" w:hanging="607"/>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these non-GAAP measures provide important supplemental information to investors. We use these measures, together with GAAP measures, for internal managerial purposes and as a means to evaluate period-to-period comparisons. However, we do not, and you should not, rely on non-GAAP financial measures alone as measures of our performance. We believe that non-GAAP financial measures reflect an additional way of viewing aspects of our operations that, when taken together with GAAP results and the reconciliations to corresponding GAAP financial measures that we also provide in our releases, provide a more complete understanding of factors and trends affecting our business. Because non-GAAP financial measures are not standardized, it may not be possible to compare these financial measures with other companies’ non-GAAP financial measures, even if they have similar names.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TELECONFERENCE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onsemi will host a conference call for the financial community at 5 p.m. Eastern Time (ET) on November 2, 2026 to discuss this announcement and onsemi’s third quarter 2026 results. The Company will also provide a real-time audio webcast of the teleconference on the Investor Relations page of its website at </w:t>
      </w:r>
      <w:r>
        <w:rPr>
          <w:rFonts w:ascii="Times New Roman" w:cs="Times New Roman" w:eastAsia="Times New Roman" w:hAnsi="Times New Roman"/>
          <w:sz w:val="18"/>
          <w:szCs w:val="18"/>
          <w:u w:val="single" w:color="auto"/>
          <w:color w:val="auto"/>
        </w:rPr>
        <w:t>http://www.onsemi.com</w:t>
      </w:r>
      <w:r>
        <w:rPr>
          <w:rFonts w:ascii="Times New Roman" w:cs="Times New Roman" w:eastAsia="Times New Roman" w:hAnsi="Times New Roman"/>
          <w:sz w:val="18"/>
          <w:szCs w:val="18"/>
          <w:color w:val="auto"/>
        </w:rPr>
        <w:t xml:space="preserve">. The webcast replay will be available at this site approximately one hour following the live broadcast and will continue to be available for approximately 30 days following the conference call. Investors and interested parties can also access the conference call by pre-registering </w:t>
      </w:r>
      <w:r>
        <w:rPr>
          <w:rFonts w:ascii="Times New Roman" w:cs="Times New Roman" w:eastAsia="Times New Roman" w:hAnsi="Times New Roman"/>
          <w:sz w:val="18"/>
          <w:szCs w:val="18"/>
          <w:b w:val="1"/>
          <w:bCs w:val="1"/>
          <w:u w:val="single" w:color="auto"/>
          <w:color w:val="0000F9"/>
        </w:rPr>
        <w:t>here</w:t>
      </w:r>
      <w:r>
        <w:rPr>
          <w:rFonts w:ascii="Times New Roman" w:cs="Times New Roman" w:eastAsia="Times New Roman" w:hAnsi="Times New Roman"/>
          <w:sz w:val="18"/>
          <w:szCs w:val="18"/>
          <w:b w:val="1"/>
          <w:bCs w:val="1"/>
          <w:color w:val="auto"/>
        </w:rPr>
        <w: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onsemi</w:t>
      </w:r>
    </w:p>
    <w:p>
      <w:pPr>
        <w:spacing w:after="0" w:line="22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onsemi </w:t>
      </w:r>
      <w:r>
        <w:rPr>
          <w:rFonts w:ascii="Times New Roman" w:cs="Times New Roman" w:eastAsia="Times New Roman" w:hAnsi="Times New Roman"/>
          <w:sz w:val="18"/>
          <w:szCs w:val="18"/>
          <w:color w:val="auto"/>
        </w:rPr>
        <w:t>(Nasdaq: ON) delivers intelligent power and sensing technologies that enable electrification, energy efficiency, safety, and automation across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automotive, industrial, and AI data center end-markets. With a highly differentiated and innovative product portfolio, onsemi helps customers solve complex challenges to achieve higher efficiency, improved performance, and lower system cost, while supporting a safer, cleaner, and more energy-efficient world.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is part of the S&amp;P 500</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index. Learn more about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color w:val="0000F9"/>
        </w:rPr>
        <w:t>www.onsemi.com</w:t>
      </w:r>
      <w:r>
        <w:rPr>
          <w:rFonts w:ascii="Times New Roman" w:cs="Times New Roman" w:eastAsia="Times New Roman" w:hAnsi="Times New Roman"/>
          <w:sz w:val="18"/>
          <w:szCs w:val="18"/>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onsemi and the onsemi logo are trademarks of Semiconductor Components Industries, LLC. All other brand and product names appearing in this document are registered trademarks or trademarks of their respective holders. Although the Company references its website in this news release, information on the website is not to be incorporated herein.</w:t>
      </w:r>
    </w:p>
    <w:p>
      <w:pPr>
        <w:sectPr>
          <w:pgSz w:w="11900" w:h="16838" w:orient="portrait"/>
          <w:cols w:equalWidth="0" w:num="1">
            <w:col w:w="11240"/>
          </w:cols>
          <w:pgMar w:left="320" w:top="117" w:right="33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Krystal Heaton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Head of 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onsemi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(480) 242-6943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Krystal.Heaton@onsemi.com</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 Agarwal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 Investor Relations &amp; Corporate Development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onsemi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(602) 244-3437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investor@onsemi.com</w:t>
      </w:r>
    </w:p>
    <w:p>
      <w:pPr>
        <w:spacing w:after="0" w:line="200" w:lineRule="exact"/>
        <w:rPr>
          <w:sz w:val="20"/>
          <w:szCs w:val="20"/>
          <w:color w:val="auto"/>
        </w:rPr>
      </w:pPr>
    </w:p>
    <w:p>
      <w:pPr>
        <w:sectPr>
          <w:pgSz w:w="11900" w:h="16838" w:orient="portrait"/>
          <w:cols w:equalWidth="0" w:num="2">
            <w:col w:w="3780" w:space="720"/>
            <w:col w:w="6740"/>
          </w:cols>
          <w:pgMar w:left="320" w:top="117" w:right="339" w:bottom="1440" w:gutter="0" w:footer="0" w:header="0"/>
          <w:type w:val="continuous"/>
        </w:sectPr>
      </w:pPr>
    </w:p>
    <w:p>
      <w:pPr>
        <w:spacing w:after="0" w:line="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document includes “forward-looking statements,” as that term is defined in Section 27A of the Securities Act of 1933, as amended, and Section 21E of the Securities Exchange Act of 1934, as amended. All statements, other than statements of historical facts, included or incorporated in this document could be deemed forward-looking statements, particularly statements about the future financial performance of onsemi, including financial guidance for the fourth quarter of 2026. Forward-looking statements are often characterized by the use of words such as “believes,” “estimates,” “expects,” “projects,” “may,” “will,” “intends,” “plans,” “anticipates,” “should” or similar expressions or by discussions of strategy, plans or intentions. All forward-looking statements in this document are made based on our current expectations, forecasts, estimates and assumptions and involve risks, uncertainties and other factors that could cause results or events to differ materially from those expressed in the forward-looking statements. Certain factors that could affect our future results or events are described under Part I, Item 1A “Risk Factors” in the 2025 Annual Report on Form 10-K filed with the Securities and Exchange Commission (“SEC”) on February 9, 2026 (the “2025 Form 10-K”) and from time to time in our other SEC reports. Readers are cautioned not to place undue reliance on forward-looking statements. We assume no obligation to update such information, which speaks only as of the date made, except as may be required by law. Investing in our securities involves a high degree of risk and uncertainty, and you should carefully consider the trends, risks and uncertainties described in this document, our 2025 Form 10-K and other reports filed with or furnished to the SEC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and percentage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46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October 2,</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October 2,</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100" w:type="dxa"/>
            <w:vAlign w:val="bottom"/>
          </w:tcPr>
          <w:p>
            <w:pPr>
              <w:spacing w:after="0"/>
              <w:rPr>
                <w:sz w:val="16"/>
                <w:szCs w:val="16"/>
                <w:color w:val="auto"/>
              </w:rPr>
            </w:pPr>
          </w:p>
        </w:tc>
      </w:tr>
      <w:tr>
        <w:trPr>
          <w:trHeight w:val="245"/>
        </w:trPr>
        <w:tc>
          <w:tcPr>
            <w:tcW w:w="46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July 3, 2026</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4,465.3</w:t>
            </w: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987.2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2,926.7</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3,032.4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1,432.9</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449.8</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262.9</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r>
      <w:tr>
        <w:trPr>
          <w:trHeight w:val="22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asset impairments and other, net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608.1</w:t>
            </w:r>
          </w:p>
        </w:tc>
      </w:tr>
      <w:tr>
        <w:trPr>
          <w:trHeight w:val="223"/>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258.6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264.4</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583.5</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(115.9)</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r>
      <w:tr>
        <w:trPr>
          <w:trHeight w:val="22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7"/>
        </w:trPr>
        <w:tc>
          <w:tcPr>
            <w:tcW w:w="4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w:t>
            </w:r>
          </w:p>
        </w:tc>
      </w:tr>
      <w:tr>
        <w:trPr>
          <w:trHeight w:val="22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198"/>
        </w:trPr>
        <w:tc>
          <w:tcPr>
            <w:tcW w:w="462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ON Semiconductor</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226.8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per share of common stock attributable to</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 Semiconductor Corporation:</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390.3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414.3</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51"/>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50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2, 2026</w:t>
            </w: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July 3, 2026</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3,514.5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2,147.6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1,989.6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Assets held-for-sale</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352.9</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7,281.8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5,823.1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3,369.0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1,679.9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343.9</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financing lease assets</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356.0</w:t>
            </w: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13,485.1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financing lease liabilities</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2,980.5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financing lease liabilities</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498.5</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6,246.6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4,832.2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Semiconductor Corporation stockholders’ equity:</w:t>
            </w:r>
          </w:p>
        </w:tc>
        <w:tc>
          <w:tcPr>
            <w:tcW w:w="22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5,538.6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earnings</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8,241.9</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Less: Treasury stock, at cost</w:t>
            </w:r>
          </w:p>
        </w:tc>
        <w:tc>
          <w:tcPr>
            <w:tcW w:w="2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(6,813.3)</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(6,788.6)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(6,057.9)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ON Semiconductor Corporation stockholders’ equity</w:t>
            </w:r>
          </w:p>
        </w:tc>
        <w:tc>
          <w:tcPr>
            <w:tcW w:w="22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13,931.3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13,485.1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12,524.1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80" w:type="dxa"/>
            <w:vAlign w:val="bottom"/>
            <w:vMerge w:val="restart"/>
          </w:tcPr>
          <w:p>
            <w:pPr>
              <w:jc w:val="right"/>
              <w:ind w:right="1535"/>
              <w:spacing w:after="0"/>
              <w:rPr>
                <w:sz w:val="20"/>
                <w:szCs w:val="20"/>
                <w:color w:val="auto"/>
              </w:rPr>
            </w:pPr>
            <w:r>
              <w:rPr>
                <w:rFonts w:ascii="Times New Roman" w:cs="Times New Roman" w:eastAsia="Times New Roman" w:hAnsi="Times New Roman"/>
                <w:sz w:val="14"/>
                <w:szCs w:val="14"/>
                <w:color w:val="auto"/>
              </w:rPr>
              <w:t>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50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00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Quarters Ended</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46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October 2,</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July 3,</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October 2,</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100" w:type="dxa"/>
            <w:vAlign w:val="bottom"/>
          </w:tcPr>
          <w:p>
            <w:pPr>
              <w:spacing w:after="0"/>
              <w:rPr>
                <w:sz w:val="16"/>
                <w:szCs w:val="16"/>
                <w:color w:val="auto"/>
              </w:rPr>
            </w:pPr>
          </w:p>
        </w:tc>
      </w:tr>
      <w:tr>
        <w:trPr>
          <w:trHeight w:val="245"/>
        </w:trPr>
        <w:tc>
          <w:tcPr>
            <w:tcW w:w="46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20" w:type="dxa"/>
            <w:vAlign w:val="bottom"/>
          </w:tcPr>
          <w:p>
            <w:pPr>
              <w:spacing w:after="0"/>
              <w:rPr>
                <w:sz w:val="18"/>
                <w:szCs w:val="18"/>
                <w:color w:val="auto"/>
              </w:rPr>
            </w:pP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227.5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w:t>
            </w: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471.1</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and disposal of fixed assets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divestiture of a business</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asset impairment charges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487.9</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deferred tax balances</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(113.1)</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308.4</w:t>
            </w:r>
          </w:p>
        </w:tc>
      </w:tr>
      <w:tr>
        <w:trPr>
          <w:trHeight w:val="223"/>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2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24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2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2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100" w:type="dxa"/>
            <w:vAlign w:val="bottom"/>
            <w:shd w:val="clear" w:color="auto" w:fill="CCEEFF"/>
          </w:tcPr>
          <w:p>
            <w:pPr>
              <w:spacing w:after="0"/>
              <w:rPr>
                <w:sz w:val="19"/>
                <w:szCs w:val="19"/>
                <w:color w:val="auto"/>
              </w:rPr>
            </w:pPr>
          </w:p>
        </w:tc>
      </w:tr>
      <w:tr>
        <w:trPr>
          <w:trHeight w:val="216"/>
        </w:trPr>
        <w:tc>
          <w:tcPr>
            <w:tcW w:w="4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for acquisition of property, plant, and equipment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(272.1)</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198"/>
        </w:trPr>
        <w:tc>
          <w:tcPr>
            <w:tcW w:w="4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Proceeds related to divestiture of businesses, net of cash</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transferred</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(760.0)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(800.0)</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maturity of short-term investments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for acquisition of a business, net of cash acquired</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(117.5)</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4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for common stock issuance under the ESPP</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tax withholding for RSUs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(344.8)</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(710.4)</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(927.4)</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and borrowings under debt agreements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1,473.7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Reimbursement of debt issuance and other financing costs</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debt issuance and other financing costs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borrowings under debt agreements</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for purchase of bond hedges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(351.6)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(351.6)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warrants</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281.0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finance lease obligations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related to prior business acquisitions</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4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(322.2)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(939.9)</w:t>
            </w:r>
          </w:p>
        </w:tc>
      </w:tr>
      <w:tr>
        <w:trPr>
          <w:trHeight w:val="198"/>
        </w:trPr>
        <w:tc>
          <w:tcPr>
            <w:tcW w:w="462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cash equivalents and</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1"/>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1,510.8</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2,010.1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(219.4)</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Beginning cash, cash equivalents and restricted cash</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2,005.1</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2,529.6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2,149.0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2,693.4</w:t>
            </w:r>
          </w:p>
        </w:tc>
      </w:tr>
      <w:tr>
        <w:trPr>
          <w:trHeight w:val="25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cash, cash equivalents and restricted cash</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4,159.1</w:t>
            </w:r>
          </w:p>
        </w:tc>
        <w:tc>
          <w:tcPr>
            <w:tcW w:w="120" w:type="dxa"/>
            <w:vAlign w:val="bottom"/>
            <w:tcBorders>
              <w:lef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3,515.9</w:t>
            </w:r>
          </w:p>
        </w:tc>
        <w:tc>
          <w:tcPr>
            <w:tcW w:w="24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22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4,159.1</w:t>
            </w:r>
          </w:p>
        </w:tc>
        <w:tc>
          <w:tcPr>
            <w:tcW w:w="22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100" w:type="dxa"/>
            <w:vAlign w:val="bottom"/>
            <w:shd w:val="clear" w:color="auto" w:fill="CCEEFF"/>
          </w:tcPr>
          <w:p>
            <w:pPr>
              <w:spacing w:after="0"/>
              <w:rPr>
                <w:sz w:val="22"/>
                <w:szCs w:val="22"/>
                <w:color w:val="auto"/>
              </w:rPr>
            </w:pPr>
          </w:p>
        </w:tc>
      </w:tr>
      <w:tr>
        <w:trPr>
          <w:trHeight w:val="551"/>
        </w:trPr>
        <w:tc>
          <w:tcPr>
            <w:tcW w:w="46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4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VERSUS NON-GAAP DISCLOSURES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and percentage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3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October 2,</w:t>
            </w: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October 2,</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100" w:type="dxa"/>
            <w:vAlign w:val="bottom"/>
          </w:tcPr>
          <w:p>
            <w:pPr>
              <w:spacing w:after="0"/>
              <w:rPr>
                <w:sz w:val="16"/>
                <w:szCs w:val="16"/>
                <w:color w:val="auto"/>
              </w:rPr>
            </w:pPr>
          </w:p>
        </w:tc>
      </w:tr>
      <w:tr>
        <w:trPr>
          <w:trHeight w:val="245"/>
        </w:trPr>
        <w:tc>
          <w:tcPr>
            <w:tcW w:w="3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July 3, 2026</w:t>
            </w:r>
          </w:p>
        </w:tc>
        <w:tc>
          <w:tcPr>
            <w:tcW w:w="12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4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gross profit:</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 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616.3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587.2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1,912.4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1,432.9</w:t>
            </w:r>
          </w:p>
        </w:tc>
      </w:tr>
      <w:tr>
        <w:trPr>
          <w:trHeight w:val="216"/>
        </w:trPr>
        <w:tc>
          <w:tcPr>
            <w:tcW w:w="4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Restructuring-related inventory and other charges</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281.5</w:t>
            </w:r>
          </w:p>
        </w:tc>
      </w:tr>
      <w:tr>
        <w:trPr>
          <w:trHeight w:val="216"/>
        </w:trPr>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42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fair market value step-up of inventory</w:t>
            </w: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4260" w:type="dxa"/>
            <w:vAlign w:val="bottom"/>
            <w:tcBorders>
              <w:bottom w:val="single" w:sz="8" w:color="CCEEFF"/>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special items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630.9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589.0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1,720.0</w:t>
            </w:r>
          </w:p>
        </w:tc>
      </w:tr>
      <w:tr>
        <w:trPr>
          <w:trHeight w:val="21"/>
        </w:trPr>
        <w:tc>
          <w:tcPr>
            <w:tcW w:w="45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gross margin:</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 gross margin</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4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Restructuring-related inventory and other charges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42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fair market value step-up of inventory</w:t>
            </w: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4260" w:type="dxa"/>
            <w:vAlign w:val="bottom"/>
            <w:tcBorders>
              <w:bottom w:val="single" w:sz="8" w:color="CCEEFF"/>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special items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r>
      <w:tr>
        <w:trPr>
          <w:trHeight w:val="21"/>
        </w:trPr>
        <w:tc>
          <w:tcPr>
            <w:tcW w:w="45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operating expenses: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 operating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322.8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1,548.8</w:t>
            </w:r>
          </w:p>
        </w:tc>
      </w:tr>
      <w:tr>
        <w:trPr>
          <w:trHeight w:val="216"/>
        </w:trPr>
        <w:tc>
          <w:tcPr>
            <w:tcW w:w="4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42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Restructuring, asset impairments and other, net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(608.1)</w:t>
            </w:r>
          </w:p>
        </w:tc>
      </w:tr>
      <w:tr>
        <w:trPr>
          <w:trHeight w:val="216"/>
        </w:trPr>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Third-party acquisition and divestiture-related costs</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42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Adjustments related to contingent consideration</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0" w:type="dxa"/>
            <w:vAlign w:val="bottom"/>
            <w:shd w:val="clear" w:color="auto" w:fill="CCEEFF"/>
          </w:tcPr>
          <w:p>
            <w:pPr>
              <w:spacing w:after="0"/>
              <w:rPr>
                <w:sz w:val="2"/>
                <w:szCs w:val="2"/>
                <w:color w:val="auto"/>
              </w:rPr>
            </w:pPr>
          </w:p>
        </w:tc>
        <w:tc>
          <w:tcPr>
            <w:tcW w:w="4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special items</w:t>
            </w: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(428.9)</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(645.4)</w:t>
            </w:r>
          </w:p>
        </w:tc>
      </w:tr>
      <w:tr>
        <w:trPr>
          <w:trHeight w:val="256"/>
        </w:trPr>
        <w:tc>
          <w:tcPr>
            <w:tcW w:w="4580" w:type="dxa"/>
            <w:vAlign w:val="bottom"/>
            <w:tcBorders>
              <w:bottom w:val="single" w:sz="8" w:color="CCEEFF"/>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Non-GAAP operating expenses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309.5</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296.8</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291.2</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900.0</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903.4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operating income: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(115.9)</w:t>
            </w:r>
          </w:p>
        </w:tc>
      </w:tr>
      <w:tr>
        <w:trPr>
          <w:trHeight w:val="216"/>
        </w:trPr>
        <w:tc>
          <w:tcPr>
            <w:tcW w:w="45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42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Restructuring-related inventory and other charges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281.5</w:t>
            </w:r>
          </w:p>
        </w:tc>
      </w:tr>
      <w:tr>
        <w:trPr>
          <w:trHeight w:val="216"/>
        </w:trPr>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42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Restructuring, asset impairments and other, net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375.1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608.1</w:t>
            </w:r>
          </w:p>
        </w:tc>
      </w:tr>
      <w:tr>
        <w:trPr>
          <w:trHeight w:val="216"/>
        </w:trPr>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Third-party acquisition and divestiture-related costs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42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Amortization of fair market value step-up of inventory</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 related to contingent consideration</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4260" w:type="dxa"/>
            <w:vAlign w:val="bottom"/>
            <w:tcBorders>
              <w:bottom w:val="single" w:sz="8" w:color="CCEEFF"/>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special items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Non-GAAP operating income</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399.8</w:t>
            </w:r>
          </w:p>
        </w:tc>
        <w:tc>
          <w:tcPr>
            <w:tcW w:w="140" w:type="dxa"/>
            <w:vAlign w:val="bottom"/>
          </w:tcPr>
          <w:p>
            <w:pPr>
              <w:spacing w:after="0"/>
              <w:rPr>
                <w:sz w:val="18"/>
                <w:szCs w:val="18"/>
                <w:color w:val="auto"/>
              </w:rPr>
            </w:pP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334.1</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297.8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1,023.5</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816.6</w:t>
            </w:r>
          </w:p>
        </w:tc>
      </w:tr>
      <w:tr>
        <w:trPr>
          <w:trHeight w:val="20"/>
        </w:trPr>
        <w:tc>
          <w:tcPr>
            <w:tcW w:w="45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4580" w:type="dxa"/>
            <w:vAlign w:val="bottom"/>
            <w:tcBorders>
              <w:right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Reconciliation of GAAP to non-GAAP operating margin</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45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 revenue)</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 operating margin</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Restructuring related inventory and other charges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42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Restructuring, asset impairments and other, net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42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Third-party acquisition and divestiture-related costs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fair market value step-up of inventory</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42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Adjustments related to contingent consideration</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0" w:type="dxa"/>
            <w:vAlign w:val="bottom"/>
            <w:shd w:val="clear" w:color="auto" w:fill="CCEEFF"/>
          </w:tcPr>
          <w:p>
            <w:pPr>
              <w:spacing w:after="0"/>
              <w:rPr>
                <w:sz w:val="2"/>
                <w:szCs w:val="2"/>
                <w:color w:val="auto"/>
              </w:rPr>
            </w:pPr>
          </w:p>
        </w:tc>
        <w:tc>
          <w:tcPr>
            <w:tcW w:w="4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special items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23"/>
        </w:trPr>
        <w:tc>
          <w:tcPr>
            <w:tcW w:w="458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margin</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4"/>
        </w:trPr>
        <w:tc>
          <w:tcPr>
            <w:tcW w:w="45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of GAAP to non-GAAP income before</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ON SEMICONDUCTOR CORPORATION RECONCILIATION OF GAAP VERSUS NON-GAAP DISCLOSURES (Continued) </w:t>
      </w:r>
      <w:r>
        <w:rPr>
          <w:rFonts w:ascii="Times New Roman" w:cs="Times New Roman" w:eastAsia="Times New Roman" w:hAnsi="Times New Roman"/>
          <w:sz w:val="18"/>
          <w:szCs w:val="18"/>
          <w:color w:val="auto"/>
        </w:rPr>
        <w:t>(in millions, except per share and percentage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38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October 2,</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8"/>
              </w:rPr>
              <w:t>October 3,</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October 2,</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8"/>
              </w:rPr>
              <w:t>October 3,</w:t>
            </w:r>
          </w:p>
        </w:tc>
        <w:tc>
          <w:tcPr>
            <w:tcW w:w="80" w:type="dxa"/>
            <w:vAlign w:val="bottom"/>
          </w:tcPr>
          <w:p>
            <w:pPr>
              <w:spacing w:after="0"/>
              <w:rPr>
                <w:sz w:val="16"/>
                <w:szCs w:val="16"/>
                <w:color w:val="auto"/>
              </w:rPr>
            </w:pPr>
          </w:p>
        </w:tc>
      </w:tr>
      <w:tr>
        <w:trPr>
          <w:trHeight w:val="245"/>
        </w:trPr>
        <w:tc>
          <w:tcPr>
            <w:tcW w:w="3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July 3, 2026</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r>
      <w:tr>
        <w:trPr>
          <w:trHeight w:val="223"/>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income (loss) before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(85.8)</w:t>
            </w:r>
          </w:p>
        </w:tc>
      </w:tr>
      <w:tr>
        <w:trPr>
          <w:trHeight w:val="216"/>
        </w:trPr>
        <w:tc>
          <w:tcPr>
            <w:tcW w:w="58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w:t>
            </w:r>
          </w:p>
        </w:tc>
        <w:tc>
          <w:tcPr>
            <w:tcW w:w="5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Restructuring-related inventory and other charges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281.5</w:t>
            </w:r>
          </w:p>
        </w:tc>
      </w:tr>
      <w:tr>
        <w:trPr>
          <w:trHeight w:val="216"/>
        </w:trPr>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w:t>
            </w:r>
          </w:p>
        </w:tc>
        <w:tc>
          <w:tcPr>
            <w:tcW w:w="5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Restructuring, asset impairments and other,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608.1</w:t>
            </w:r>
          </w:p>
        </w:tc>
      </w:tr>
      <w:tr>
        <w:trPr>
          <w:trHeight w:val="216"/>
        </w:trPr>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w:t>
            </w: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Third-party acquisition and divestiture-related costs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w:t>
            </w:r>
          </w:p>
        </w:tc>
        <w:tc>
          <w:tcPr>
            <w:tcW w:w="5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of fair market value step-up of inventory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w:t>
            </w: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Adjustments related to contingent consideration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w:t>
            </w:r>
          </w:p>
        </w:tc>
        <w:tc>
          <w:tcPr>
            <w:tcW w:w="5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Actuarial gains on pension plans and other pension benefits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w:t>
            </w: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 of divestiture of a business</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0" w:type="dxa"/>
            <w:vAlign w:val="bottom"/>
            <w:tcBorders>
              <w:bottom w:val="single" w:sz="8" w:color="CCEEFF"/>
            </w:tcBorders>
            <w:shd w:val="clear" w:color="auto" w:fill="CCEEFF"/>
          </w:tcPr>
          <w:p>
            <w:pPr>
              <w:spacing w:after="0"/>
              <w:rPr>
                <w:sz w:val="19"/>
                <w:szCs w:val="19"/>
                <w:color w:val="auto"/>
              </w:rPr>
            </w:pPr>
          </w:p>
        </w:tc>
        <w:tc>
          <w:tcPr>
            <w:tcW w:w="54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special items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income before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1,061.9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846.7</w:t>
            </w:r>
          </w:p>
        </w:tc>
      </w:tr>
      <w:tr>
        <w:trPr>
          <w:trHeight w:val="20"/>
        </w:trPr>
        <w:tc>
          <w:tcPr>
            <w:tcW w:w="58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7"/>
        </w:trPr>
        <w:tc>
          <w:tcPr>
            <w:tcW w:w="584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Reconciliation of GAAP to non-GAAP net income attributable to</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5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 net income (loss) attributable to ON Semiconductor Corporation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t>
            </w: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Restructuring-related inventory and other charges</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281.5</w:t>
            </w:r>
          </w:p>
        </w:tc>
      </w:tr>
      <w:tr>
        <w:trPr>
          <w:trHeight w:val="216"/>
        </w:trPr>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5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w:t>
            </w: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Restructuring, asset impairments and other,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608.1</w:t>
            </w:r>
          </w:p>
        </w:tc>
      </w:tr>
      <w:tr>
        <w:trPr>
          <w:trHeight w:val="216"/>
        </w:trPr>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w:t>
            </w:r>
          </w:p>
        </w:tc>
        <w:tc>
          <w:tcPr>
            <w:tcW w:w="5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Third-party acquisition and divestiture-related costs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w:t>
            </w: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fair market value step-up of inventory</w:t>
            </w:r>
          </w:p>
        </w:tc>
        <w:tc>
          <w:tcPr>
            <w:tcW w:w="10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w:t>
            </w:r>
          </w:p>
        </w:tc>
        <w:tc>
          <w:tcPr>
            <w:tcW w:w="5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Adjustments related to contingent consideration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w:t>
            </w: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Actuarial gains on pension plans and other pension benefits</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w:t>
            </w:r>
          </w:p>
        </w:tc>
        <w:tc>
          <w:tcPr>
            <w:tcW w:w="5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Gain of divestiture of a business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w:t>
            </w: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Adjustment to income taxes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(162.5)</w:t>
            </w:r>
          </w:p>
        </w:tc>
      </w:tr>
      <w:tr>
        <w:trPr>
          <w:trHeight w:val="223"/>
        </w:trPr>
        <w:tc>
          <w:tcPr>
            <w:tcW w:w="380" w:type="dxa"/>
            <w:vAlign w:val="bottom"/>
            <w:tcBorders>
              <w:bottom w:val="single" w:sz="8" w:color="CCEEFF"/>
            </w:tcBorders>
            <w:shd w:val="clear" w:color="auto" w:fill="CCEEFF"/>
          </w:tcPr>
          <w:p>
            <w:pPr>
              <w:spacing w:after="0"/>
              <w:rPr>
                <w:sz w:val="19"/>
                <w:szCs w:val="19"/>
                <w:color w:val="auto"/>
              </w:rPr>
            </w:pPr>
          </w:p>
        </w:tc>
        <w:tc>
          <w:tcPr>
            <w:tcW w:w="54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special items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net income attributable to ON Semiconductor Corporation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709.2</w:t>
            </w:r>
          </w:p>
        </w:tc>
      </w:tr>
      <w:tr>
        <w:trPr>
          <w:trHeight w:val="20"/>
        </w:trPr>
        <w:tc>
          <w:tcPr>
            <w:tcW w:w="58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diluted shares outstanding: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 diluted shares outstanding</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414.3</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t>
            </w: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dilutive shares attributable to convertible notes</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5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Add: dilutive shares attributable to share-based awards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38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3"/>
        </w:trPr>
        <w:tc>
          <w:tcPr>
            <w:tcW w:w="380" w:type="dxa"/>
            <w:vAlign w:val="bottom"/>
          </w:tcPr>
          <w:p>
            <w:pPr>
              <w:spacing w:after="0"/>
              <w:rPr>
                <w:sz w:val="19"/>
                <w:szCs w:val="19"/>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special items</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r>
      <w:tr>
        <w:trPr>
          <w:trHeight w:val="257"/>
        </w:trPr>
        <w:tc>
          <w:tcPr>
            <w:tcW w:w="5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shares outstanding</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1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Non-GAAP diluted earnings per share: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attributable to ON Semiconductor Corporation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709.2</w:t>
            </w:r>
          </w:p>
        </w:tc>
      </w:tr>
      <w:tr>
        <w:trPr>
          <w:trHeight w:val="22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diluted shares outstanding</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414.9</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cash provided by operating activities to free cash flow:</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1,205.3</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w:t>
            </w:r>
          </w:p>
        </w:tc>
        <w:tc>
          <w:tcPr>
            <w:tcW w:w="5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Payments for acquisition of property, plant and equipment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(272.1)</w:t>
            </w:r>
          </w:p>
        </w:tc>
      </w:tr>
      <w:tr>
        <w:trPr>
          <w:trHeight w:val="27"/>
        </w:trPr>
        <w:tc>
          <w:tcPr>
            <w:tcW w:w="38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3"/>
        </w:trPr>
        <w:tc>
          <w:tcPr>
            <w:tcW w:w="380" w:type="dxa"/>
            <w:vAlign w:val="bottom"/>
          </w:tcPr>
          <w:p>
            <w:pPr>
              <w:spacing w:after="0"/>
              <w:rPr>
                <w:sz w:val="19"/>
                <w:szCs w:val="19"/>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special items</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(272.1)</w:t>
            </w:r>
          </w:p>
        </w:tc>
      </w:tr>
      <w:tr>
        <w:trPr>
          <w:trHeight w:val="256"/>
        </w:trPr>
        <w:tc>
          <w:tcPr>
            <w:tcW w:w="5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1,131.2</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amounts in the above tables may not total due to rounding of individual amounts.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ON SEMICONDUCTOR CORPORATION RECONCILIATION OF GAAP VERSUS NON-GAAP DISCLOSURES (Continued) (in millions, except per share and percentage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260" w:type="dxa"/>
            <w:vAlign w:val="bottom"/>
            <w:gridSpan w:val="3"/>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October 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Last Twelve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April 3, 2026</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July 3, 2026</w:t>
            </w:r>
          </w:p>
        </w:tc>
        <w:tc>
          <w:tcPr>
            <w:tcW w:w="120" w:type="dxa"/>
            <w:vAlign w:val="bottom"/>
          </w:tcPr>
          <w:p>
            <w:pPr>
              <w:spacing w:after="0"/>
              <w:rPr>
                <w:sz w:val="21"/>
                <w:szCs w:val="21"/>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acquisition of property, plant and equipment</w:t>
            </w: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1,530.1</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6,369.2</w:t>
            </w: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Total share-based compensation related to restricted stock units, stock grant awards and the employee stock purchase plan was as follows: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Quarters Ended</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October 2,</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October 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October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July 3, 2026</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FINANCIAL DATA</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Quarters Ended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October 2,</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October 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October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July 3, 2026</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425.4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Depreciation and amortization </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471.1</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Less: Amortization of intangible assets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188"/>
        </w:trPr>
        <w:tc>
          <w:tcPr>
            <w:tcW w:w="46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Depreciation and amortization (excl. amortization of</w:t>
            </w: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46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 xml:space="preserve">intangible assets) </w:t>
            </w:r>
            <w:r>
              <w:rPr>
                <w:rFonts w:ascii="Times New Roman" w:cs="Times New Roman" w:eastAsia="Times New Roman" w:hAnsi="Times New Roman"/>
                <w:sz w:val="28"/>
                <w:szCs w:val="28"/>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433.7</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 xml:space="preserve"> Accelerated depreciation and amortization related to the</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and 2026 Manufacturing Realignment Programs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557"/>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supplement the consolidated financial results prepared in accordance with GAAP, onsemi uses certain non-GAAP measures, which are adjusted from the most directly comparable GAAP measures to exclude items related to the amortization of acquisition-related intangibles, restructuring-related cost of revenue charges, expensing of appraised inventory fair market value step-up, inventory valuation adjustments, in-process research and development expenses, restructuring, asset impairments and other, net, goodwill impairment charges, gains and losses on debt prepayment, non-cash interest expense, actuarial (gains) losses on pension plans and other pension benefits, third party acquisition and divestiture-related costs, tax impact of these items and certain other non-recurring items, as necessary. Management does not consider the effects of these items in evaluating the core operational activities of onsemi. Management uses these non-GAAP measures internally to make strategic decisions, forecast future results and evaluate onsemi’s current performance. In addition, the Company believes that most analysts covering onsemi use the non-GAAP measures to evaluate onsemi’s performance. Given management’s and other relevant parties’ use of these non-GAAP measures, onsemi believes these measures are important to investors in understanding onsemi’s current and future operating results as seen through the eyes of management. In addition, management believes these non-GAAP measures are useful to investors in enabling them to better assess changes in onsemi’s core business across different time periods. These non-GAAP measures are not prepared in accordance with, and should not be considered alternatives or necessarily superior to, GAAP financial data and may be different from non-GAAP measures used by other companies. Because non-GAAP financial measures are not standardized, it may not be possible to compare these financial measures with other companies’ non-GAAP financial measures, even if they have similar names.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Gross Profit and Gross Margin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use of non-GAAP gross profit and gross margin allows management to evaluate, among other things, the gross profit and gross margin of the Company’s core businesses and trends across different reporting periods on a consistent basis, independent of non-cash and non-recurring items including, generally speaking, restructuring-related cost of revenue charges, amortization of intangible assets, amortization of appraised inventory fair market value step-up, impact of business wind down and non-recurring facility costs. In addition, it is an important component of management’s internal performance measurement and incentive and reward process as it is used to assess the current and historical financial results of the business and for strategic decision making, preparing budgets, obtaining targets and forecasting future results. Management presents this non-GAAP financial measure to enable investors and analysts to evaluate our operating performance independent of certain non-cash items and the effects of certain variables unrelated to our overall operating performance.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Operating Income and Operating Margin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use of non-GAAP operating income and operating margin allows management to evaluate, among other things, the operating income and operating margin of the Company’s core businesses and trends across different reporting periods on a consistent basis, independent of non-cash and non-recurring items including, generally speaking, restructuring-related cost of revenue charges, expensing of appraised inventory fair market value step-up, impact of business wind down, non-recurring facility costs, amortization and impairments of intangible assets, third party acquisition and divestiture-related costs, restructuring charges, asset impairments and certain other special items as necessary. In addition, it is an important component of management’s internal performance measurement and incentive and reward process as it is used to assess the current and historical financial results of the business and for strategic decision making, preparing budgets, obtaining targets and forecasting future results. Management presents this non-GAAP financial measure to enable investors and analysts to evaluate our operating performance independent of certain non-cash items and the effects of certain variables unrelated to our overall operating performance.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Net Income Attributable to ON Semiconductor Corporation and Non-GAAP Diluted Earnings Per Share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use of non-GAAP net income attributable to ON Semiconductor Corporation and non-GAAP diluted earnings per share allows management to evaluate the operating results of onsemi’s core businesses and trends across different reporting periods on a consistent basis, independent of non-cash and non-recurring items including, generally, the restructuring related cost of revenue charges, amortization and impairments of intangible assets, expensing of appraised inventory fair market value step-up, impact of business wind down, non-recurring facility costs, restructuring, asset impairments, gains and losses on debt prepayment, actuarial (gains) losses on pension plans and other pension benefits, third party acquisition and divestiture-related costs, discrete tax items and other non-GAAP tax adjustments and certain other special items, as necessary. In addition, these measures are important components of management’s internal performance measurement and incentive and reward process, as they are used to assess the current and historical financial results of the business and for strategic decision making, preparing budgets, setting targets and forecasting future results. For our non-GAAP reporting we apply a projected, normalized non-GAAP effective tax rate of 15% for 2026 and 16% for 2025. We calculate this non-GAAP effective tax rate on an annual basis. We may update this non-GAAP effective tax rate at any time for a variety of reasons, including, but not limited to, the rapidly evolving global tax environment, significant changes in our geographic earnings mix or changes to our strategy or business operations. Management presents these non-GAAP financial measures to enable investors and analysts to understand the results of operations of onsemi’s core businesses and, to the extent comparable, to compare our results of operations on a more consistent basis against those of other companies in our industry.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NON-GAAP MEASURES (Continued)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use of free cash flow allows management to evaluate, among other things, the ability of the Company to make interest or principal payments on its debt. Free cash flow is defined as the difference between cash flow from operating activities and capital expenditures disclosed under investing activities in the consolidated statement of cash flows. Free cash flow is not an alternative to cash flow from operating activities as a measure of liquidity. It is an important component of management’s internal performance measurement and incentive and reward process as it is used to assess the current and historical financial results of the business and for strategic decision making, preparing budgets, obtaining targets and forecasting future results. Management presents this non-GAAP financial measure to enable investors and analysts to evaluate our financial performance independent of the cash capital expenditures.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Diluted Share Count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use of non-GAAP diluted share count allows management to evaluate, among other things, the potential dilution due to the outstanding restricted stock units excluding the dilution from the convertible notes that is covered by hedging activity up to a certain threshold. In periods when the quarterly average stock price per share exceeds $52.97 for the 0% Notes, $103.87 for the 0.50% Notes, and $161.30 for the 2031 0% Notes, the non-GAAP diluted share count includes the anti-dilutive impact of the Company’s hedge transactions issued concurrently with the 0% Notes, the 0.50% Notes, and the 2031 0% Notes, respectively. At an average stock price per share between $52.97 and $74.34 for the 0% Notes, $103.87 and $156.78 for the 0.50% Notes, and $161.30 and $211.54 for the 2031 0% Notes, the hedging activity offsets the potentially dilutive effect of the 0% Notes, the 0.50% Notes, and the 2031 0% Notes, respectively. In periods when the quarterly average stock price exceeds $74.34 for the 0% Notes, $156.78 for the 0.50% Notes, and $211.54 for the 2031 0% Notes, the dilutive impact of the warrants issued concurrently with such notes is included in the diluted shares outstanding.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2026-11-02T15:33:34Z</dcterms:created>
  <dcterms:modified xsi:type="dcterms:W3CDTF">2026-11-02T15:33:34Z</dcterms:modified>
</cp:coreProperties>
</file>