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3660_sd.htm"/>
      <w:bookmarkStart w:id="1" w:name="ksef20073660_sd"/>
      <w:bookmarkStart w:id="2" w:name="ef20073660_sd.htm"/>
      <w:bookmarkStart w:id="3" w:name="ksef20073660_sd"/>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ind w:left="0" w:right="1" w:hanging="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ind w:left="1990" w:right="1991" w:hanging="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ind w:left="1990" w:right="1991" w:hanging="0"/>
        <w:jc w:val="center"/>
        <w:rPr>
          <w:rFonts w:ascii="Times New Roman" w:hAnsi="Times New Roman"/>
          <w:b/>
          <w:color w:val="000000"/>
          <w:sz w:val="36"/>
        </w:rPr>
      </w:pPr>
      <w:r>
        <w:rPr>
          <w:rFonts w:ascii="Times New Roman" w:hAnsi="Times New Roman"/>
          <w:b/>
          <w:color w:val="000000"/>
          <w:sz w:val="36"/>
        </w:rPr>
        <w:t>FORM SD</w:t>
      </w:r>
    </w:p>
    <w:p>
      <w:pPr>
        <w:pStyle w:val="TextBody"/>
        <w:bidi w:val="0"/>
        <w:spacing w:before="0" w:after="0"/>
        <w:jc w:val="left"/>
        <w:rPr/>
      </w:pPr>
      <w:r>
        <w:rPr/>
      </w:r>
    </w:p>
    <w:p>
      <w:pPr>
        <w:pStyle w:val="TextBody"/>
        <w:bidi w:val="0"/>
        <w:spacing w:before="0" w:after="0"/>
        <w:ind w:left="1987" w:right="1987" w:hanging="0"/>
        <w:jc w:val="center"/>
        <w:rPr>
          <w:rFonts w:ascii="Times New Roman" w:hAnsi="Times New Roman"/>
          <w:b/>
          <w:color w:val="000000"/>
          <w:sz w:val="20"/>
        </w:rPr>
      </w:pPr>
      <w:r>
        <w:rPr>
          <w:rFonts w:ascii="Times New Roman" w:hAnsi="Times New Roman"/>
          <w:b/>
          <w:color w:val="000000"/>
          <w:sz w:val="20"/>
        </w:rPr>
        <w:t>Specialized Disclosure Report</w:t>
      </w:r>
    </w:p>
    <w:p>
      <w:pPr>
        <w:pStyle w:val="TextBody"/>
        <w:bidi w:val="0"/>
        <w:spacing w:before="0" w:after="0"/>
        <w:jc w:val="left"/>
        <w:rPr/>
      </w:pPr>
      <w:r>
        <w:rPr/>
      </w:r>
    </w:p>
    <w:p>
      <w:pPr>
        <w:pStyle w:val="TextBody"/>
        <w:bidi w:val="0"/>
        <w:spacing w:before="0" w:after="0"/>
        <w:ind w:left="1987" w:right="1987" w:hanging="0"/>
        <w:jc w:val="center"/>
        <w:rPr>
          <w:color w:val="000000"/>
        </w:rPr>
      </w:pPr>
      <w:r>
        <w:rPr>
          <w:color w:val="000000"/>
        </w:rPr>
        <w:drawing>
          <wp:inline distT="0" distB="0" distL="0" distR="0">
            <wp:extent cx="21621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62175" cy="45720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ind w:left="1990" w:right="1991" w:hanging="0"/>
        <w:jc w:val="center"/>
        <w:rPr>
          <w:rFonts w:ascii="Times New Roman" w:hAnsi="Times New Roman"/>
          <w:b/>
          <w:color w:val="000000"/>
          <w:sz w:val="48"/>
        </w:rPr>
      </w:pPr>
      <w:r>
        <w:rPr>
          <w:rFonts w:ascii="Times New Roman" w:hAnsi="Times New Roman"/>
          <w:b/>
          <w:color w:val="000000"/>
          <w:sz w:val="48"/>
        </w:rPr>
        <w:t>ON Semiconductor Corporation</w:t>
      </w:r>
    </w:p>
    <w:p>
      <w:pPr>
        <w:pStyle w:val="TextBody"/>
        <w:bidi w:val="0"/>
        <w:spacing w:before="0" w:after="0"/>
        <w:ind w:left="1990" w:right="1991" w:hanging="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53dc59c6c8da414e93cfb99c8570ca48"/>
      <w:bookmarkStart w:id="5" w:name="z53dc59c6c8da414e93cfb99c8570ca48"/>
      <w:bookmarkEnd w:id="5"/>
    </w:p>
    <w:tbl>
      <w:tblPr>
        <w:tblW w:w="10205" w:type="dxa"/>
        <w:jc w:val="left"/>
        <w:tblInd w:w="0" w:type="dxa"/>
        <w:tblLayout w:type="fixed"/>
        <w:tblCellMar>
          <w:top w:w="0" w:type="dxa"/>
          <w:left w:w="0" w:type="dxa"/>
          <w:bottom w:w="0" w:type="dxa"/>
          <w:right w:w="0" w:type="dxa"/>
        </w:tblCellMar>
      </w:tblPr>
      <w:tblGrid>
        <w:gridCol w:w="4247"/>
        <w:gridCol w:w="2652"/>
        <w:gridCol w:w="3306"/>
      </w:tblGrid>
      <w:tr>
        <w:trPr/>
        <w:tc>
          <w:tcPr>
            <w:tcW w:w="4247" w:type="dxa"/>
            <w:tcBorders/>
            <w:vAlign w:val="center"/>
          </w:tcPr>
          <w:p>
            <w:pPr>
              <w:pStyle w:val="TableContents"/>
              <w:bidi w:val="0"/>
              <w:spacing w:before="0" w:after="0"/>
              <w:jc w:val="center"/>
              <w:rPr>
                <w:b/>
              </w:rPr>
            </w:pPr>
            <w:r>
              <w:rPr>
                <w:b/>
              </w:rPr>
              <w:t>Delaware</w:t>
            </w:r>
          </w:p>
        </w:tc>
        <w:tc>
          <w:tcPr>
            <w:tcW w:w="2652" w:type="dxa"/>
            <w:tcBorders/>
            <w:vAlign w:val="center"/>
          </w:tcPr>
          <w:p>
            <w:pPr>
              <w:pStyle w:val="TableContents"/>
              <w:bidi w:val="0"/>
              <w:spacing w:before="0" w:after="0"/>
              <w:jc w:val="center"/>
              <w:rPr>
                <w:b/>
              </w:rPr>
            </w:pPr>
            <w:r>
              <w:rPr>
                <w:b/>
              </w:rPr>
              <w:t>001-39317</w:t>
            </w:r>
          </w:p>
        </w:tc>
        <w:tc>
          <w:tcPr>
            <w:tcW w:w="3306" w:type="dxa"/>
            <w:tcBorders/>
            <w:vAlign w:val="center"/>
          </w:tcPr>
          <w:p>
            <w:pPr>
              <w:pStyle w:val="TableContents"/>
              <w:bidi w:val="0"/>
              <w:spacing w:before="0" w:after="0"/>
              <w:jc w:val="center"/>
              <w:rPr>
                <w:b/>
              </w:rPr>
            </w:pPr>
            <w:r>
              <w:rPr>
                <w:b/>
              </w:rPr>
              <w:t>36-3840979</w:t>
            </w:r>
          </w:p>
        </w:tc>
      </w:tr>
      <w:tr>
        <w:trPr/>
        <w:tc>
          <w:tcPr>
            <w:tcW w:w="4247" w:type="dxa"/>
            <w:tcBorders/>
            <w:vAlign w:val="center"/>
          </w:tcPr>
          <w:p>
            <w:pPr>
              <w:pStyle w:val="TableContents"/>
              <w:bidi w:val="0"/>
              <w:spacing w:before="0" w:after="0"/>
              <w:jc w:val="center"/>
              <w:rPr>
                <w:b/>
              </w:rPr>
            </w:pPr>
            <w:r>
              <w:rPr>
                <w:b/>
              </w:rPr>
              <w:t>(State or other jurisdiction of incorporation)</w:t>
            </w:r>
          </w:p>
        </w:tc>
        <w:tc>
          <w:tcPr>
            <w:tcW w:w="2652" w:type="dxa"/>
            <w:tcBorders/>
            <w:vAlign w:val="center"/>
          </w:tcPr>
          <w:p>
            <w:pPr>
              <w:pStyle w:val="TableContents"/>
              <w:bidi w:val="0"/>
              <w:spacing w:before="0" w:after="0"/>
              <w:jc w:val="center"/>
              <w:rPr>
                <w:b/>
              </w:rPr>
            </w:pPr>
            <w:r>
              <w:rPr>
                <w:b/>
              </w:rPr>
              <w:t>(Commission File Number)</w:t>
            </w:r>
          </w:p>
        </w:tc>
        <w:tc>
          <w:tcPr>
            <w:tcW w:w="3306" w:type="dxa"/>
            <w:tcBorders/>
            <w:vAlign w:val="center"/>
          </w:tcPr>
          <w:p>
            <w:pPr>
              <w:pStyle w:val="TableContents"/>
              <w:bidi w:val="0"/>
              <w:spacing w:before="0" w:after="0"/>
              <w:jc w:val="center"/>
              <w:rPr>
                <w:b/>
              </w:rPr>
            </w:pPr>
            <w:r>
              <w:rPr>
                <w:b/>
              </w:rPr>
              <w:t>(IRS Employer Identification No.)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75b4b6cb09394400bff059d26f49572a"/>
      <w:bookmarkStart w:id="7" w:name="z75b4b6cb09394400bff059d26f49572a"/>
      <w:bookmarkEnd w:id="7"/>
    </w:p>
    <w:tbl>
      <w:tblPr>
        <w:tblW w:w="5215" w:type="dxa"/>
        <w:jc w:val="left"/>
        <w:tblInd w:w="0" w:type="dxa"/>
        <w:tblLayout w:type="fixed"/>
        <w:tblCellMar>
          <w:top w:w="0" w:type="dxa"/>
          <w:left w:w="0" w:type="dxa"/>
          <w:bottom w:w="0" w:type="dxa"/>
          <w:right w:w="0" w:type="dxa"/>
        </w:tblCellMar>
      </w:tblPr>
      <w:tblGrid>
        <w:gridCol w:w="4025"/>
        <w:gridCol w:w="60"/>
        <w:gridCol w:w="1130"/>
      </w:tblGrid>
      <w:tr>
        <w:trPr/>
        <w:tc>
          <w:tcPr>
            <w:tcW w:w="4025" w:type="dxa"/>
            <w:tcBorders/>
            <w:vAlign w:val="center"/>
          </w:tcPr>
          <w:p>
            <w:pPr>
              <w:pStyle w:val="TableContents"/>
              <w:bidi w:val="0"/>
              <w:spacing w:before="0" w:after="0"/>
              <w:jc w:val="center"/>
              <w:rPr>
                <w:b/>
              </w:rPr>
            </w:pPr>
            <w:r>
              <w:rPr>
                <w:b/>
              </w:rPr>
              <w:t>5701 N. Pima Road Scottsdale, Arizona</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center"/>
              <w:rPr>
                <w:b/>
              </w:rPr>
            </w:pPr>
            <w:r>
              <w:rPr>
                <w:b/>
              </w:rPr>
              <w:t>85250</w:t>
            </w:r>
          </w:p>
        </w:tc>
      </w:tr>
      <w:tr>
        <w:trPr/>
        <w:tc>
          <w:tcPr>
            <w:tcW w:w="4025" w:type="dxa"/>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center"/>
              <w:rPr>
                <w:b/>
              </w:rPr>
            </w:pPr>
            <w:r>
              <w:rPr>
                <w:b/>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Paul Dutton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(602) 244-6600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(Name and telephone number, including area code, of the person to contact in connection with this report.) </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ind w:left="0" w:right="118" w:hanging="0"/>
        <w:jc w:val="left"/>
        <w:rPr>
          <w:rFonts w:ascii="Times New Roman" w:hAnsi="Times New Roman"/>
          <w:color w:val="000000"/>
          <w:sz w:val="20"/>
        </w:rPr>
      </w:pPr>
      <w:r>
        <w:rPr>
          <w:rFonts w:ascii="Times New Roman" w:hAnsi="Times New Roman"/>
          <w:color w:val="000000"/>
          <w:sz w:val="20"/>
        </w:rPr>
        <w:t>Check the appropriate box to indicate the rule pursuant to which this form is being filed and provide the period to which the information in this form applies: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af9b60c3ce2746b3aa6cacc7f2826d0a"/>
      <w:bookmarkStart w:id="9" w:name="zaf9b60c3ce2746b3aa6cacc7f2826d0a"/>
      <w:bookmarkEnd w:id="9"/>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pPr>
            <w:r>
              <w:rPr/>
              <w:t>Rule 13p-1 under the Securities Exchange Act (17 CFR 240.13p-1) for the reporting period from January 1 to December 31, 2025.</w:t>
            </w:r>
          </w:p>
        </w:tc>
      </w:tr>
    </w:tbl>
    <w:p>
      <w:pPr>
        <w:pStyle w:val="TextBody"/>
        <w:bidi w:val="0"/>
        <w:spacing w:before="0" w:after="0"/>
        <w:jc w:val="left"/>
        <w:rPr>
          <w:color w:val="000000"/>
        </w:rPr>
      </w:pPr>
      <w:r>
        <w:rPr>
          <w:color w:val="000000"/>
        </w:rPr>
        <w:t xml:space="preserve">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 w:name="z3e4d9849003b42dfbb8f87c78b7091b6"/>
      <w:bookmarkStart w:id="11" w:name="z3e4d9849003b42dfbb8f87c78b7091b6"/>
      <w:bookmarkEnd w:id="11"/>
    </w:p>
    <w:tbl>
      <w:tblPr>
        <w:tblW w:w="5185" w:type="dxa"/>
        <w:jc w:val="left"/>
        <w:tblInd w:w="0" w:type="dxa"/>
        <w:tblLayout w:type="fixed"/>
        <w:tblCellMar>
          <w:top w:w="0" w:type="dxa"/>
          <w:left w:w="0" w:type="dxa"/>
          <w:bottom w:w="0" w:type="dxa"/>
          <w:right w:w="0" w:type="dxa"/>
        </w:tblCellMar>
      </w:tblPr>
      <w:tblGrid>
        <w:gridCol w:w="1040"/>
        <w:gridCol w:w="4145"/>
      </w:tblGrid>
      <w:tr>
        <w:trPr/>
        <w:tc>
          <w:tcPr>
            <w:tcW w:w="1040" w:type="dxa"/>
            <w:tcBorders/>
            <w:vAlign w:val="center"/>
          </w:tcPr>
          <w:p>
            <w:pPr>
              <w:pStyle w:val="TableContents"/>
              <w:bidi w:val="0"/>
              <w:spacing w:before="0" w:after="283"/>
              <w:jc w:val="left"/>
              <w:rPr>
                <w:b/>
              </w:rPr>
            </w:pPr>
            <w:r>
              <w:rPr>
                <w:b/>
              </w:rPr>
              <w:t>Item 1.01.</w:t>
            </w:r>
          </w:p>
        </w:tc>
        <w:tc>
          <w:tcPr>
            <w:tcW w:w="4145" w:type="dxa"/>
            <w:tcBorders/>
            <w:vAlign w:val="center"/>
          </w:tcPr>
          <w:p>
            <w:pPr>
              <w:pStyle w:val="TableContents"/>
              <w:bidi w:val="0"/>
              <w:spacing w:before="0" w:after="0"/>
              <w:jc w:val="left"/>
              <w:rPr>
                <w:b/>
              </w:rPr>
            </w:pPr>
            <w:r>
              <w:rPr>
                <w:b/>
              </w:rPr>
              <w:t>Conflict Minerals Disclosure and Report</w:t>
            </w:r>
          </w:p>
        </w:tc>
      </w:tr>
    </w:tbl>
    <w:p>
      <w:pPr>
        <w:pStyle w:val="TextBody"/>
        <w:bidi w:val="0"/>
        <w:spacing w:before="0" w:after="0"/>
        <w:jc w:val="left"/>
        <w:rPr>
          <w:color w:val="000000"/>
        </w:rPr>
      </w:pPr>
      <w:r>
        <w:rPr>
          <w:color w:val="000000"/>
        </w:rPr>
        <w:t> </w:t>
      </w:r>
    </w:p>
    <w:p>
      <w:pPr>
        <w:pStyle w:val="TextBody"/>
        <w:bidi w:val="0"/>
        <w:spacing w:before="0" w:after="0"/>
        <w:ind w:left="0" w:right="118" w:firstLine="436"/>
        <w:jc w:val="both"/>
        <w:rPr>
          <w:rFonts w:ascii="Times New Roman" w:hAnsi="Times New Roman"/>
          <w:color w:val="000000"/>
          <w:sz w:val="20"/>
        </w:rPr>
      </w:pPr>
      <w:r>
        <w:rPr>
          <w:rFonts w:ascii="Times New Roman" w:hAnsi="Times New Roman"/>
          <w:color w:val="000000"/>
          <w:sz w:val="20"/>
        </w:rPr>
        <w:t>Pursuant to Section 13(p) of the Securities Exchange Act of 1934, as amended (the “</w:t>
      </w:r>
      <w:r>
        <w:rPr>
          <w:rFonts w:ascii="Times New Roman" w:hAnsi="Times New Roman"/>
          <w:b/>
          <w:i/>
          <w:color w:val="000000"/>
          <w:sz w:val="20"/>
        </w:rPr>
        <w:t>Exchange Act</w:t>
      </w:r>
      <w:r>
        <w:rPr>
          <w:rFonts w:ascii="Times New Roman" w:hAnsi="Times New Roman"/>
          <w:color w:val="000000"/>
          <w:sz w:val="20"/>
        </w:rPr>
        <w:t>”), and Rule 13p-1 thereunder, which implements Section 1502 of the Dodd-Frank Wall Street Reform and Consumer Protection Act (Section 13(p) of the Exchange Act, Rule 13p-1 thereunder and Section 1502 of the Dodd-Frank Wall Street Reform and Consumer Protection Act collectively, the “</w:t>
      </w:r>
      <w:r>
        <w:rPr>
          <w:rFonts w:ascii="Times New Roman" w:hAnsi="Times New Roman"/>
          <w:b/>
          <w:i/>
          <w:color w:val="000000"/>
          <w:sz w:val="20"/>
        </w:rPr>
        <w:t>Conflict Minerals Regulations</w:t>
      </w:r>
      <w:r>
        <w:rPr>
          <w:rFonts w:ascii="Times New Roman" w:hAnsi="Times New Roman"/>
          <w:color w:val="000000"/>
          <w:sz w:val="20"/>
        </w:rPr>
        <w:t>”), ON Semiconductor Corporation (the “</w:t>
      </w:r>
      <w:r>
        <w:rPr>
          <w:rFonts w:ascii="Times New Roman" w:hAnsi="Times New Roman"/>
          <w:b/>
          <w:i/>
          <w:color w:val="000000"/>
          <w:sz w:val="20"/>
        </w:rPr>
        <w:t>Company</w:t>
      </w:r>
      <w:r>
        <w:rPr>
          <w:rFonts w:ascii="Times New Roman" w:hAnsi="Times New Roman"/>
          <w:color w:val="000000"/>
          <w:sz w:val="20"/>
        </w:rPr>
        <w:t>”) is required to make certain inquiries and perform certain due diligence with respect to any “conflict minerals” (as defined in the Conflict Minerals Regulations) that are necessary to the functionality or production of a product manufactured (or contracted to be manufactured) by the Company or any of its subsidiaries.</w:t>
      </w:r>
    </w:p>
    <w:p>
      <w:pPr>
        <w:pStyle w:val="TextBody"/>
        <w:bidi w:val="0"/>
        <w:spacing w:before="0" w:after="0"/>
        <w:jc w:val="left"/>
        <w:rPr>
          <w:color w:val="000000"/>
        </w:rPr>
      </w:pPr>
      <w:r>
        <w:rPr>
          <w:color w:val="000000"/>
        </w:rPr>
        <w:t> </w:t>
      </w:r>
    </w:p>
    <w:p>
      <w:pPr>
        <w:pStyle w:val="TextBody"/>
        <w:bidi w:val="0"/>
        <w:spacing w:before="0" w:after="0"/>
        <w:ind w:left="0" w:right="116" w:firstLine="436"/>
        <w:jc w:val="both"/>
        <w:rPr>
          <w:rFonts w:ascii="Times New Roman" w:hAnsi="Times New Roman"/>
          <w:color w:val="000000"/>
          <w:sz w:val="20"/>
        </w:rPr>
      </w:pPr>
      <w:r>
        <w:rPr>
          <w:rFonts w:ascii="Times New Roman" w:hAnsi="Times New Roman"/>
          <w:color w:val="000000"/>
          <w:sz w:val="20"/>
        </w:rPr>
        <w:t>Conflict minerals are necessary for the functionality of certain of the Company’s products. As required by the Conflict Minerals Regulations, the Company has conducted a reasonable country of origin inquiry (“</w:t>
      </w:r>
      <w:r>
        <w:rPr>
          <w:rFonts w:ascii="Times New Roman" w:hAnsi="Times New Roman"/>
          <w:b/>
          <w:i/>
          <w:color w:val="000000"/>
          <w:sz w:val="20"/>
        </w:rPr>
        <w:t>RCOI</w:t>
      </w:r>
      <w:r>
        <w:rPr>
          <w:rFonts w:ascii="Times New Roman" w:hAnsi="Times New Roman"/>
          <w:color w:val="000000"/>
          <w:sz w:val="20"/>
        </w:rPr>
        <w:t>”) designed to determine whether any of the conflict minerals contained in its products originated in the Democratic Republic of the Congo or an adjoining country or are from recycled or scrap sources. Based on its RCOI, the Company was unable to reasonably conclude that all of the conflict minerals contained in its products did not originate in the Democratic Republic of the Congo or an adjoining country or come from recycled or scrap sources. Therefore, the Company was required to exercise due diligence on the source and chain of custody of its conflict minerals in accordance with the Conflict Minerals Regulations and to file a conflict minerals report.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Conflict Minerals Disclosure</w:t>
      </w:r>
    </w:p>
    <w:p>
      <w:pPr>
        <w:pStyle w:val="TextBody"/>
        <w:bidi w:val="0"/>
        <w:spacing w:before="0" w:after="0"/>
        <w:jc w:val="left"/>
        <w:rPr>
          <w:color w:val="000000"/>
        </w:rPr>
      </w:pPr>
      <w:r>
        <w:rPr>
          <w:color w:val="000000"/>
        </w:rPr>
        <w:t> </w:t>
      </w:r>
    </w:p>
    <w:p>
      <w:pPr>
        <w:pStyle w:val="TextBody"/>
        <w:bidi w:val="0"/>
        <w:spacing w:before="0" w:after="0"/>
        <w:ind w:left="0" w:right="118" w:firstLine="436"/>
        <w:jc w:val="both"/>
        <w:rPr>
          <w:rFonts w:ascii="Times New Roman" w:hAnsi="Times New Roman"/>
          <w:color w:val="000000"/>
          <w:sz w:val="20"/>
        </w:rPr>
      </w:pPr>
      <w:r>
        <w:rPr>
          <w:rFonts w:ascii="Times New Roman" w:hAnsi="Times New Roman"/>
          <w:color w:val="000000"/>
          <w:sz w:val="20"/>
        </w:rPr>
        <w:t>The Company’s conflict minerals report for the year ended December 31, 2025 (the “</w:t>
      </w:r>
      <w:r>
        <w:rPr>
          <w:rFonts w:ascii="Times New Roman" w:hAnsi="Times New Roman"/>
          <w:b/>
          <w:i/>
          <w:color w:val="000000"/>
          <w:sz w:val="20"/>
        </w:rPr>
        <w:t>CMR</w:t>
      </w:r>
      <w:r>
        <w:rPr>
          <w:rFonts w:ascii="Times New Roman" w:hAnsi="Times New Roman"/>
          <w:color w:val="000000"/>
          <w:sz w:val="20"/>
        </w:rPr>
        <w:t>”) is attached to this Specialized Disclosure Report on Securities and Exchange Commission Form SD (this “</w:t>
      </w:r>
      <w:r>
        <w:rPr>
          <w:rFonts w:ascii="Times New Roman" w:hAnsi="Times New Roman"/>
          <w:b/>
          <w:i/>
          <w:color w:val="000000"/>
          <w:sz w:val="20"/>
        </w:rPr>
        <w:t>Form SD</w:t>
      </w:r>
      <w:r>
        <w:rPr>
          <w:rFonts w:ascii="Times New Roman" w:hAnsi="Times New Roman"/>
          <w:color w:val="000000"/>
          <w:sz w:val="20"/>
        </w:rPr>
        <w:t xml:space="preserve">”) as Exhibit 1.01 and is incorporated into this Form SD by reference. The CMR is also publicly available on the Company’s website at </w:t>
      </w:r>
      <w:r>
        <w:rPr>
          <w:rFonts w:ascii="Times New Roman" w:hAnsi="Times New Roman"/>
          <w:color w:val="000000"/>
          <w:sz w:val="20"/>
          <w:u w:val="single"/>
        </w:rPr>
        <w:t>https://www.onsemi.com/company/environmental-social-and-governance/social-responsibility</w:t>
      </w:r>
      <w:r>
        <w:rPr>
          <w:rFonts w:ascii="Times New Roman" w:hAnsi="Times New Roman"/>
          <w:color w:val="000000"/>
          <w:sz w:val="20"/>
        </w:rPr>
        <w:t>.</w:t>
      </w:r>
      <w:r>
        <w:rPr>
          <w:rFonts w:ascii="Times New Roman" w:hAnsi="Times New Roman"/>
          <w:color w:val="333333"/>
          <w:sz w:val="20"/>
        </w:rPr>
        <w:t> </w:t>
      </w:r>
      <w:r>
        <w:rPr>
          <w:rFonts w:ascii="Times New Roman" w:hAnsi="Times New Roman"/>
          <w:color w:val="000000"/>
          <w:sz w:val="20"/>
        </w:rPr>
        <w:t>The reference to the Company’s website is provided for convenience only, and its contents are not incorporated by reference into this Form SD or into the CMR, nor are they deemed “filed” with the U.S. Securities and Exchange Commission pursuant to the Exchange Act or the Securities Act of 1933, as amended.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1569d42cf81a4375be5bf30e96963fe8"/>
      <w:bookmarkStart w:id="13" w:name="z1569d42cf81a4375be5bf30e96963fe8"/>
      <w:bookmarkEnd w:id="13"/>
    </w:p>
    <w:tbl>
      <w:tblPr>
        <w:tblW w:w="1825" w:type="dxa"/>
        <w:jc w:val="left"/>
        <w:tblInd w:w="0" w:type="dxa"/>
        <w:tblLayout w:type="fixed"/>
        <w:tblCellMar>
          <w:top w:w="0" w:type="dxa"/>
          <w:left w:w="0" w:type="dxa"/>
          <w:bottom w:w="0" w:type="dxa"/>
          <w:right w:w="0" w:type="dxa"/>
        </w:tblCellMar>
      </w:tblPr>
      <w:tblGrid>
        <w:gridCol w:w="1040"/>
        <w:gridCol w:w="785"/>
      </w:tblGrid>
      <w:tr>
        <w:trPr/>
        <w:tc>
          <w:tcPr>
            <w:tcW w:w="1040" w:type="dxa"/>
            <w:tcBorders/>
            <w:vAlign w:val="center"/>
          </w:tcPr>
          <w:p>
            <w:pPr>
              <w:pStyle w:val="TableContents"/>
              <w:bidi w:val="0"/>
              <w:spacing w:before="0" w:after="283"/>
              <w:jc w:val="left"/>
              <w:rPr>
                <w:b/>
              </w:rPr>
            </w:pPr>
            <w:r>
              <w:rPr>
                <w:b/>
              </w:rPr>
              <w:t>Item 1.02.</w:t>
            </w:r>
          </w:p>
        </w:tc>
        <w:tc>
          <w:tcPr>
            <w:tcW w:w="785" w:type="dxa"/>
            <w:tcBorders/>
            <w:vAlign w:val="center"/>
          </w:tcPr>
          <w:p>
            <w:pPr>
              <w:pStyle w:val="TableContents"/>
              <w:bidi w:val="0"/>
              <w:spacing w:before="0" w:after="0"/>
              <w:jc w:val="left"/>
              <w:rPr>
                <w:b/>
              </w:rPr>
            </w:pPr>
            <w:r>
              <w:rPr>
                <w:b/>
              </w:rPr>
              <w:t>Exhibit</w:t>
            </w:r>
          </w:p>
        </w:tc>
      </w:tr>
    </w:tbl>
    <w:p>
      <w:pPr>
        <w:pStyle w:val="TextBody"/>
        <w:bidi w:val="0"/>
        <w:spacing w:before="0" w:after="0"/>
        <w:jc w:val="left"/>
        <w:rPr>
          <w:color w:val="000000"/>
        </w:rPr>
      </w:pPr>
      <w:r>
        <w:rPr>
          <w:color w:val="000000"/>
        </w:rPr>
        <w:t> </w:t>
      </w:r>
    </w:p>
    <w:p>
      <w:pPr>
        <w:pStyle w:val="TextBody"/>
        <w:bidi w:val="0"/>
        <w:spacing w:before="0" w:after="0"/>
        <w:ind w:left="0" w:right="118" w:firstLine="436"/>
        <w:jc w:val="left"/>
        <w:rPr>
          <w:rFonts w:ascii="Times New Roman" w:hAnsi="Times New Roman"/>
          <w:color w:val="000000"/>
          <w:sz w:val="20"/>
        </w:rPr>
      </w:pPr>
      <w:r>
        <w:rPr>
          <w:rFonts w:ascii="Times New Roman" w:hAnsi="Times New Roman"/>
          <w:color w:val="000000"/>
          <w:sz w:val="20"/>
        </w:rPr>
        <w:t>Information concerning conflict minerals required by the Conflict Minerals Regulations is included in Exhibit 1.01 to this Form SD.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3. EXHIBITS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4df3a46c668f4d5f8e027597eb264204"/>
      <w:bookmarkStart w:id="15" w:name="z4df3a46c668f4d5f8e027597eb264204"/>
      <w:bookmarkEnd w:id="15"/>
    </w:p>
    <w:tbl>
      <w:tblPr>
        <w:tblW w:w="1915" w:type="dxa"/>
        <w:jc w:val="left"/>
        <w:tblInd w:w="0" w:type="dxa"/>
        <w:tblLayout w:type="fixed"/>
        <w:tblCellMar>
          <w:top w:w="0" w:type="dxa"/>
          <w:left w:w="0" w:type="dxa"/>
          <w:bottom w:w="0" w:type="dxa"/>
          <w:right w:w="0" w:type="dxa"/>
        </w:tblCellMar>
      </w:tblPr>
      <w:tblGrid>
        <w:gridCol w:w="1040"/>
        <w:gridCol w:w="875"/>
      </w:tblGrid>
      <w:tr>
        <w:trPr/>
        <w:tc>
          <w:tcPr>
            <w:tcW w:w="1040" w:type="dxa"/>
            <w:tcBorders/>
            <w:vAlign w:val="center"/>
          </w:tcPr>
          <w:p>
            <w:pPr>
              <w:pStyle w:val="TableContents"/>
              <w:bidi w:val="0"/>
              <w:spacing w:before="0" w:after="283"/>
              <w:jc w:val="left"/>
              <w:rPr>
                <w:b/>
              </w:rPr>
            </w:pPr>
            <w:r>
              <w:rPr>
                <w:b/>
              </w:rPr>
              <w:t>Item 3.01.</w:t>
            </w:r>
          </w:p>
        </w:tc>
        <w:tc>
          <w:tcPr>
            <w:tcW w:w="875" w:type="dxa"/>
            <w:tcBorders/>
            <w:vAlign w:val="center"/>
          </w:tcPr>
          <w:p>
            <w:pPr>
              <w:pStyle w:val="TableContents"/>
              <w:bidi w:val="0"/>
              <w:spacing w:before="0" w:after="0"/>
              <w:jc w:val="left"/>
              <w:rPr>
                <w:b/>
              </w:rPr>
            </w:pPr>
            <w:r>
              <w:rPr>
                <w:b/>
              </w:rPr>
              <w:t>Exhibits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3a1cc18accdb4208a77a1393e4d14c19"/>
      <w:bookmarkStart w:id="17" w:name="z3a1cc18accdb4208a77a1393e4d14c19"/>
      <w:bookmarkEnd w:id="17"/>
    </w:p>
    <w:tbl>
      <w:tblPr>
        <w:tblW w:w="10205" w:type="dxa"/>
        <w:jc w:val="left"/>
        <w:tblInd w:w="0" w:type="dxa"/>
        <w:tblLayout w:type="fixed"/>
        <w:tblCellMar>
          <w:top w:w="0" w:type="dxa"/>
          <w:left w:w="0" w:type="dxa"/>
          <w:bottom w:w="0" w:type="dxa"/>
          <w:right w:w="0" w:type="dxa"/>
        </w:tblCellMar>
      </w:tblPr>
      <w:tblGrid>
        <w:gridCol w:w="1119"/>
        <w:gridCol w:w="9086"/>
      </w:tblGrid>
      <w:tr>
        <w:trPr/>
        <w:tc>
          <w:tcPr>
            <w:tcW w:w="1119" w:type="dxa"/>
            <w:tcBorders/>
            <w:vAlign w:val="center"/>
          </w:tcPr>
          <w:p>
            <w:pPr>
              <w:pStyle w:val="TableContents"/>
              <w:bidi w:val="0"/>
              <w:spacing w:before="0" w:after="0"/>
              <w:jc w:val="left"/>
              <w:rPr>
                <w:b/>
                <w:u w:val="single"/>
              </w:rPr>
            </w:pPr>
            <w:r>
              <w:rPr>
                <w:b/>
                <w:u w:val="single"/>
              </w:rPr>
              <w:t>Exhibit No.</w:t>
            </w:r>
          </w:p>
        </w:tc>
        <w:tc>
          <w:tcPr>
            <w:tcW w:w="9086" w:type="dxa"/>
            <w:tcBorders/>
            <w:vAlign w:val="center"/>
          </w:tcPr>
          <w:p>
            <w:pPr>
              <w:pStyle w:val="TableContents"/>
              <w:bidi w:val="0"/>
              <w:spacing w:before="0" w:after="0"/>
              <w:jc w:val="center"/>
              <w:rPr>
                <w:b/>
                <w:u w:val="single"/>
              </w:rPr>
            </w:pPr>
            <w:r>
              <w:rPr>
                <w:b/>
                <w:u w:val="single"/>
              </w:rPr>
              <w:t>Description</w:t>
            </w:r>
          </w:p>
        </w:tc>
      </w:tr>
      <w:tr>
        <w:trPr/>
        <w:tc>
          <w:tcPr>
            <w:tcW w:w="1119" w:type="dxa"/>
            <w:tcBorders/>
            <w:vAlign w:val="center"/>
          </w:tcPr>
          <w:p>
            <w:pPr>
              <w:pStyle w:val="TableContents"/>
              <w:bidi w:val="0"/>
              <w:spacing w:before="0" w:after="283"/>
              <w:jc w:val="left"/>
              <w:rPr/>
            </w:pPr>
            <w:r>
              <w:rPr/>
              <w:t> </w:t>
            </w:r>
          </w:p>
        </w:tc>
        <w:tc>
          <w:tcPr>
            <w:tcW w:w="9086"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0"/>
              <w:jc w:val="left"/>
              <w:rPr/>
            </w:pPr>
            <w:hyperlink w:anchor="ef20073660_ex1-01.htm">
              <w:r>
                <w:rPr>
                  <w:rStyle w:val="InternetLink"/>
                </w:rPr>
                <w:t>1.01</w:t>
              </w:r>
            </w:hyperlink>
          </w:p>
        </w:tc>
        <w:tc>
          <w:tcPr>
            <w:tcW w:w="9086" w:type="dxa"/>
            <w:tcBorders/>
            <w:vAlign w:val="center"/>
          </w:tcPr>
          <w:p>
            <w:pPr>
              <w:pStyle w:val="TableContents"/>
              <w:bidi w:val="0"/>
              <w:spacing w:before="0" w:after="0"/>
              <w:jc w:val="left"/>
              <w:rPr/>
            </w:pPr>
            <w:r>
              <w:rPr/>
              <w:t>Conflict Minerals Report for the year ended December 31, 2025 as required by Items 1.01 and 1.02 of this Form.</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1990" w:right="1991" w:hanging="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ind w:left="0" w:right="118" w:firstLine="436"/>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duly authorized undersigned.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d4af303e2e7e4257acb07a2cc60665e9"/>
      <w:bookmarkStart w:id="19" w:name="zd4af303e2e7e4257acb07a2cc60665e9"/>
      <w:bookmarkEnd w:id="19"/>
    </w:p>
    <w:tbl>
      <w:tblPr>
        <w:tblW w:w="7980" w:type="dxa"/>
        <w:jc w:val="left"/>
        <w:tblInd w:w="0" w:type="dxa"/>
        <w:tblLayout w:type="fixed"/>
        <w:tblCellMar>
          <w:top w:w="0" w:type="dxa"/>
          <w:left w:w="0" w:type="dxa"/>
          <w:bottom w:w="0" w:type="dxa"/>
          <w:right w:w="0" w:type="dxa"/>
        </w:tblCellMar>
      </w:tblPr>
      <w:tblGrid>
        <w:gridCol w:w="1925"/>
        <w:gridCol w:w="650"/>
        <w:gridCol w:w="5405"/>
      </w:tblGrid>
      <w:tr>
        <w:trPr/>
        <w:tc>
          <w:tcPr>
            <w:tcW w:w="1925" w:type="dxa"/>
            <w:tcBorders/>
            <w:vAlign w:val="center"/>
          </w:tcPr>
          <w:p>
            <w:pPr>
              <w:pStyle w:val="TableContents"/>
              <w:bidi w:val="0"/>
              <w:spacing w:before="0" w:after="283"/>
              <w:jc w:val="left"/>
              <w:rPr/>
            </w:pPr>
            <w:r>
              <w:rPr/>
              <w:t> </w:t>
            </w:r>
          </w:p>
        </w:tc>
        <w:tc>
          <w:tcPr>
            <w:tcW w:w="6055" w:type="dxa"/>
            <w:gridSpan w:val="2"/>
            <w:tcBorders/>
            <w:vAlign w:val="center"/>
          </w:tcPr>
          <w:p>
            <w:pPr>
              <w:pStyle w:val="TableContents"/>
              <w:bidi w:val="0"/>
              <w:spacing w:before="0" w:after="0"/>
              <w:jc w:val="left"/>
              <w:rPr/>
            </w:pPr>
            <w:r>
              <w:rPr/>
              <w:t>ON SEMICONDUCTOR CORPORATION</w:t>
            </w:r>
          </w:p>
        </w:tc>
      </w:tr>
      <w:tr>
        <w:trPr/>
        <w:tc>
          <w:tcPr>
            <w:tcW w:w="1925" w:type="dxa"/>
            <w:tcBorders/>
            <w:vAlign w:val="center"/>
          </w:tcPr>
          <w:p>
            <w:pPr>
              <w:pStyle w:val="TableContents"/>
              <w:bidi w:val="0"/>
              <w:spacing w:before="0" w:after="283"/>
              <w:jc w:val="left"/>
              <w:rPr/>
            </w:pPr>
            <w:r>
              <w:rPr/>
              <w:t> </w:t>
            </w:r>
          </w:p>
        </w:tc>
        <w:tc>
          <w:tcPr>
            <w:tcW w:w="6055" w:type="dxa"/>
            <w:gridSpan w:val="2"/>
            <w:tcBorders/>
            <w:vAlign w:val="center"/>
          </w:tcPr>
          <w:p>
            <w:pPr>
              <w:pStyle w:val="TableContents"/>
              <w:bidi w:val="0"/>
              <w:spacing w:before="0" w:after="0"/>
              <w:ind w:left="1440" w:right="0" w:hanging="0"/>
              <w:jc w:val="left"/>
              <w:rPr/>
            </w:pPr>
            <w:r>
              <w:rPr/>
              <w:t>(Registrant)</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pPr>
            <w:r>
              <w:rPr/>
              <w:t>Date: May 18, 2026</w:t>
            </w:r>
          </w:p>
        </w:tc>
        <w:tc>
          <w:tcPr>
            <w:tcW w:w="650" w:type="dxa"/>
            <w:tcBorders/>
            <w:vAlign w:val="center"/>
          </w:tcPr>
          <w:p>
            <w:pPr>
              <w:pStyle w:val="TableContents"/>
              <w:bidi w:val="0"/>
              <w:spacing w:before="0" w:after="0"/>
              <w:jc w:val="left"/>
              <w:rPr/>
            </w:pPr>
            <w:r>
              <w:rPr/>
              <w:t>By:</w:t>
            </w:r>
          </w:p>
        </w:tc>
        <w:tc>
          <w:tcPr>
            <w:tcW w:w="5405" w:type="dxa"/>
            <w:tcBorders>
              <w:bottom w:val="single" w:sz="12" w:space="0" w:color="000000"/>
            </w:tcBorders>
            <w:tcMar>
              <w:bottom w:w="28" w:type="dxa"/>
            </w:tcMar>
            <w:vAlign w:val="center"/>
          </w:tcPr>
          <w:p>
            <w:pPr>
              <w:pStyle w:val="TableContents"/>
              <w:bidi w:val="0"/>
              <w:spacing w:before="0" w:after="0"/>
              <w:jc w:val="left"/>
              <w:rPr/>
            </w:pPr>
            <w:r>
              <w:rPr/>
              <w:t>/s/ PAUL DUTTON</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5405" w:type="dxa"/>
            <w:tcBorders/>
            <w:vAlign w:val="center"/>
          </w:tcPr>
          <w:p>
            <w:pPr>
              <w:pStyle w:val="TableContents"/>
              <w:bidi w:val="0"/>
              <w:spacing w:before="0" w:after="0"/>
              <w:jc w:val="left"/>
              <w:rPr/>
            </w:pPr>
            <w:r>
              <w:rPr/>
              <w:t>Paul Dutton</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5405" w:type="dxa"/>
            <w:tcBorders/>
            <w:vAlign w:val="center"/>
          </w:tcPr>
          <w:p>
            <w:pPr>
              <w:pStyle w:val="TableContents"/>
              <w:bidi w:val="0"/>
              <w:spacing w:before="0" w:after="0"/>
              <w:jc w:val="left"/>
              <w:rPr/>
            </w:pPr>
            <w:r>
              <w:rPr/>
              <w:t>Senior Vice President, Chief Legal Officer and Secretary</w:t>
            </w:r>
          </w:p>
        </w:tc>
      </w:tr>
    </w:tbl>
    <w:p>
      <w:pPr>
        <w:pStyle w:val="TextBody"/>
        <w:bidi w:val="0"/>
        <w:spacing w:before="0" w:after="0"/>
        <w:ind w:left="0" w:right="1851" w:hanging="0"/>
        <w:jc w:val="left"/>
        <w:rPr/>
      </w:pPr>
      <w:r>
        <w:rPr/>
      </w:r>
      <w:bookmarkStart w:id="20" w:name="z_Hlk101965202"/>
      <w:bookmarkStart w:id="21" w:name="z_Hlk101965202"/>
      <w:bookmarkEnd w:id="21"/>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2" w:name="ef20073660_ex1-01.htm"/>
      <w:bookmarkStart w:id="23" w:name="ksef20073660_ex101"/>
      <w:bookmarkStart w:id="24" w:name="ef20073660_ex1-01.htm"/>
      <w:bookmarkStart w:id="25" w:name="ksef20073660_ex101"/>
      <w:bookmarkEnd w:id="24"/>
      <w:bookmarkEnd w:id="2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color w:val="000000"/>
        </w:rPr>
      </w:pPr>
      <w:r>
        <w:rPr>
          <w:color w:val="000000"/>
        </w:rPr>
        <w:t> </w:t>
      </w:r>
    </w:p>
    <w:p>
      <w:pPr>
        <w:pStyle w:val="TextBody"/>
        <w:bidi w:val="0"/>
        <w:spacing w:before="0" w:after="0"/>
        <w:ind w:left="0" w:right="180" w:hanging="0"/>
        <w:jc w:val="center"/>
        <w:rPr>
          <w:color w:val="000000"/>
        </w:rPr>
      </w:pPr>
      <w:r>
        <w:rPr>
          <w:color w:val="000000"/>
        </w:rPr>
        <w:drawing>
          <wp:inline distT="0" distB="0" distL="0" distR="0">
            <wp:extent cx="2124075"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24075" cy="504825"/>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0" w:right="116" w:firstLine="436"/>
        <w:jc w:val="both"/>
        <w:rPr>
          <w:rFonts w:ascii="Times New Roman" w:hAnsi="Times New Roman"/>
          <w:color w:val="000000"/>
          <w:sz w:val="20"/>
        </w:rPr>
      </w:pPr>
      <w:r>
        <w:rPr>
          <w:rFonts w:ascii="Times New Roman" w:hAnsi="Times New Roman"/>
          <w:color w:val="000000"/>
          <w:sz w:val="20"/>
        </w:rPr>
        <w:t>This unaudited Conflict Minerals Report (this “</w:t>
      </w:r>
      <w:r>
        <w:rPr>
          <w:rFonts w:ascii="Times New Roman" w:hAnsi="Times New Roman"/>
          <w:b/>
          <w:i/>
          <w:color w:val="000000"/>
          <w:sz w:val="20"/>
        </w:rPr>
        <w:t>CMR</w:t>
      </w:r>
      <w:r>
        <w:rPr>
          <w:rFonts w:ascii="Times New Roman" w:hAnsi="Times New Roman"/>
          <w:color w:val="000000"/>
          <w:sz w:val="20"/>
        </w:rPr>
        <w:t>”) of ON Semiconductor Corporation (the “</w:t>
      </w:r>
      <w:r>
        <w:rPr>
          <w:rFonts w:ascii="Times New Roman" w:hAnsi="Times New Roman"/>
          <w:b/>
          <w:i/>
          <w:color w:val="000000"/>
          <w:sz w:val="20"/>
        </w:rPr>
        <w:t>Company</w:t>
      </w:r>
      <w:r>
        <w:rPr>
          <w:rFonts w:ascii="Times New Roman" w:hAnsi="Times New Roman"/>
          <w:color w:val="000000"/>
          <w:sz w:val="20"/>
        </w:rPr>
        <w:t>,” “</w:t>
      </w:r>
      <w:r>
        <w:rPr>
          <w:rFonts w:ascii="Times New Roman" w:hAnsi="Times New Roman"/>
          <w:b/>
          <w:i/>
          <w:color w:val="000000"/>
          <w:sz w:val="20"/>
        </w:rPr>
        <w:t>onsemi</w:t>
      </w:r>
      <w:r>
        <w:rPr>
          <w:rFonts w:ascii="Times New Roman" w:hAnsi="Times New Roman"/>
          <w:color w:val="000000"/>
          <w:sz w:val="20"/>
        </w:rPr>
        <w:t>,” “</w:t>
      </w:r>
      <w:r>
        <w:rPr>
          <w:rFonts w:ascii="Times New Roman" w:hAnsi="Times New Roman"/>
          <w:b/>
          <w:i/>
          <w:color w:val="000000"/>
          <w:sz w:val="20"/>
        </w:rPr>
        <w:t>we</w:t>
      </w:r>
      <w:r>
        <w:rPr>
          <w:rFonts w:ascii="Times New Roman" w:hAnsi="Times New Roman"/>
          <w:color w:val="000000"/>
          <w:sz w:val="20"/>
        </w:rPr>
        <w:t>” or “</w:t>
      </w:r>
      <w:r>
        <w:rPr>
          <w:rFonts w:ascii="Times New Roman" w:hAnsi="Times New Roman"/>
          <w:b/>
          <w:i/>
          <w:color w:val="000000"/>
          <w:sz w:val="20"/>
        </w:rPr>
        <w:t>us</w:t>
      </w:r>
      <w:r>
        <w:rPr>
          <w:rFonts w:ascii="Times New Roman" w:hAnsi="Times New Roman"/>
          <w:color w:val="000000"/>
          <w:sz w:val="20"/>
        </w:rPr>
        <w:t>”) for the year ended December 31, 2025 is attached as Exhibit 1.01 to the Company’s Specialized Disclosure Report on Securities and Exchange Commission Form SD (the “</w:t>
      </w:r>
      <w:r>
        <w:rPr>
          <w:rFonts w:ascii="Times New Roman" w:hAnsi="Times New Roman"/>
          <w:b/>
          <w:i/>
          <w:color w:val="000000"/>
          <w:sz w:val="20"/>
        </w:rPr>
        <w:t>Form SD</w:t>
      </w:r>
      <w:r>
        <w:rPr>
          <w:rFonts w:ascii="Times New Roman" w:hAnsi="Times New Roman"/>
          <w:color w:val="000000"/>
          <w:sz w:val="20"/>
        </w:rPr>
        <w:t xml:space="preserve">”). This CMR is also publicly available on the Company’s website at </w:t>
      </w:r>
      <w:r>
        <w:rPr>
          <w:rFonts w:ascii="Times New Roman" w:hAnsi="Times New Roman"/>
          <w:color w:val="000000"/>
          <w:sz w:val="20"/>
          <w:u w:val="single"/>
        </w:rPr>
        <w:t>https://www.onsemi.com/company/environmental-social-and-governance/social-responsibility</w:t>
      </w:r>
      <w:r>
        <w:rPr>
          <w:rFonts w:ascii="Times New Roman" w:hAnsi="Times New Roman"/>
          <w:color w:val="000000"/>
          <w:sz w:val="20"/>
        </w:rPr>
        <w:t> (the “</w:t>
      </w:r>
      <w:r>
        <w:rPr>
          <w:rFonts w:ascii="Times New Roman" w:hAnsi="Times New Roman"/>
          <w:b/>
          <w:i/>
          <w:color w:val="000000"/>
          <w:sz w:val="20"/>
        </w:rPr>
        <w:t>Social Responsibility Webpage</w:t>
      </w:r>
      <w:r>
        <w:rPr>
          <w:rFonts w:ascii="Times New Roman" w:hAnsi="Times New Roman"/>
          <w:color w:val="000000"/>
          <w:sz w:val="20"/>
        </w:rPr>
        <w:t>”). The content of any website referred to in this CMR is included for general information only and is not incorporated by reference in this CMR.</w:t>
      </w:r>
    </w:p>
    <w:p>
      <w:pPr>
        <w:pStyle w:val="TextBody"/>
        <w:bidi w:val="0"/>
        <w:spacing w:before="0" w:after="0"/>
        <w:jc w:val="left"/>
        <w:rPr>
          <w:color w:val="000000"/>
        </w:rPr>
      </w:pPr>
      <w:r>
        <w:rPr>
          <w:color w:val="000000"/>
        </w:rPr>
        <w:t> </w:t>
      </w:r>
    </w:p>
    <w:p>
      <w:pPr>
        <w:pStyle w:val="TextBody"/>
        <w:bidi w:val="0"/>
        <w:spacing w:before="0" w:after="0"/>
        <w:ind w:left="0" w:right="116" w:firstLine="436"/>
        <w:jc w:val="both"/>
        <w:rPr>
          <w:rFonts w:ascii="Times New Roman" w:hAnsi="Times New Roman"/>
          <w:color w:val="000000"/>
          <w:sz w:val="20"/>
        </w:rPr>
      </w:pPr>
      <w:r>
        <w:rPr>
          <w:rFonts w:ascii="Times New Roman" w:hAnsi="Times New Roman"/>
          <w:color w:val="000000"/>
          <w:sz w:val="20"/>
        </w:rPr>
        <w:t>Pursuant to Section 13(p) of the Securities Exchange Act of 1934, as amended (the “</w:t>
      </w:r>
      <w:r>
        <w:rPr>
          <w:rFonts w:ascii="Times New Roman" w:hAnsi="Times New Roman"/>
          <w:b/>
          <w:i/>
          <w:color w:val="000000"/>
          <w:sz w:val="20"/>
        </w:rPr>
        <w:t>Exchange Act</w:t>
      </w:r>
      <w:r>
        <w:rPr>
          <w:rFonts w:ascii="Times New Roman" w:hAnsi="Times New Roman"/>
          <w:color w:val="000000"/>
          <w:sz w:val="20"/>
        </w:rPr>
        <w:t>”), and Rule 13p-1 thereunder, which implements Section 1502 of the Dodd-Frank Wall Street Reform and Consumer Protection Act (Section 13(p) of the Exchange Act, Rule 13p-1 thereunder and Section 1502 of the Dodd-Frank Wall Street Reform and Consumer Protection Act collectively, the “</w:t>
      </w:r>
      <w:r>
        <w:rPr>
          <w:rFonts w:ascii="Times New Roman" w:hAnsi="Times New Roman"/>
          <w:b/>
          <w:i/>
          <w:color w:val="000000"/>
          <w:sz w:val="20"/>
        </w:rPr>
        <w:t>Conflict Minerals Regulations</w:t>
      </w:r>
      <w:r>
        <w:rPr>
          <w:rFonts w:ascii="Times New Roman" w:hAnsi="Times New Roman"/>
          <w:color w:val="000000"/>
          <w:sz w:val="20"/>
        </w:rPr>
        <w:t>”), the Company is required to make certain inquiries and perform certain due diligence with respect to any “conflict minerals” (as defined in the Conflict Minerals Regulations) that are necessary for the functionality or production of a product manufactured (or contracted to be manufactured) by the Company or any of its subsidiaries.</w:t>
      </w:r>
      <w:bookmarkStart w:id="26" w:name="z_Hlk101964582"/>
      <w:bookmarkEnd w:id="26"/>
    </w:p>
    <w:p>
      <w:pPr>
        <w:pStyle w:val="TextBody"/>
        <w:bidi w:val="0"/>
        <w:spacing w:before="0" w:after="0"/>
        <w:jc w:val="left"/>
        <w:rPr>
          <w:color w:val="000000"/>
        </w:rPr>
      </w:pPr>
      <w:r>
        <w:rPr>
          <w:color w:val="000000"/>
        </w:rPr>
        <w:t> </w:t>
      </w:r>
    </w:p>
    <w:p>
      <w:pPr>
        <w:pStyle w:val="TextBody"/>
        <w:bidi w:val="0"/>
        <w:spacing w:before="0" w:after="0"/>
        <w:ind w:left="0" w:right="118" w:firstLine="436"/>
        <w:jc w:val="both"/>
        <w:rPr>
          <w:rFonts w:ascii="Times New Roman" w:hAnsi="Times New Roman"/>
          <w:color w:val="000000"/>
          <w:sz w:val="20"/>
        </w:rPr>
      </w:pPr>
      <w:r>
        <w:rPr>
          <w:rFonts w:ascii="Times New Roman" w:hAnsi="Times New Roman"/>
          <w:b/>
          <w:color w:val="000000"/>
          <w:sz w:val="20"/>
        </w:rPr>
        <w:t xml:space="preserve">onsemi </w:t>
      </w:r>
      <w:r>
        <w:rPr>
          <w:rFonts w:ascii="Times New Roman" w:hAnsi="Times New Roman"/>
          <w:color w:val="000000"/>
          <w:sz w:val="20"/>
        </w:rPr>
        <w:t>delivers intelligent power and sensing technologies that enable electrification, energy efficiency, safety, and automation across automotive, industrial, and AI data center end</w:t>
        <w:noBreakHyphen/>
        <w:t>markets. With a highly differentiated and innovative product portfolio, onsemi helps customers solve complex challenges to achieve higher efficiency, improved performance, and lower system cost, while supporting a safer, cleaner, and more energy</w:t>
        <w:noBreakHyphen/>
        <w:t>efficient world.</w:t>
      </w:r>
    </w:p>
    <w:p>
      <w:pPr>
        <w:pStyle w:val="TextBody"/>
        <w:bidi w:val="0"/>
        <w:spacing w:before="0" w:after="0"/>
        <w:jc w:val="left"/>
        <w:rPr>
          <w:color w:val="000000"/>
        </w:rPr>
      </w:pPr>
      <w:r>
        <w:rPr>
          <w:color w:val="000000"/>
        </w:rPr>
        <w:t> </w:t>
      </w:r>
    </w:p>
    <w:p>
      <w:pPr>
        <w:pStyle w:val="TextBody"/>
        <w:bidi w:val="0"/>
        <w:spacing w:before="0" w:after="0"/>
        <w:ind w:left="0" w:right="118" w:firstLine="436"/>
        <w:jc w:val="both"/>
        <w:rPr>
          <w:rFonts w:ascii="Times New Roman" w:hAnsi="Times New Roman"/>
          <w:color w:val="000000"/>
          <w:sz w:val="20"/>
        </w:rPr>
      </w:pPr>
      <w:r>
        <w:rPr>
          <w:rFonts w:ascii="Times New Roman" w:hAnsi="Times New Roman"/>
          <w:color w:val="000000"/>
          <w:sz w:val="20"/>
        </w:rPr>
        <w:t>As a purchaser of products containing the minerals tantalum, tin, tungsten or gold (collectively, “</w:t>
      </w:r>
      <w:r>
        <w:rPr>
          <w:rFonts w:ascii="Times New Roman" w:hAnsi="Times New Roman"/>
          <w:b/>
          <w:i/>
          <w:color w:val="000000"/>
          <w:sz w:val="20"/>
        </w:rPr>
        <w:t>3TG</w:t>
      </w:r>
      <w:r>
        <w:rPr>
          <w:rFonts w:ascii="Times New Roman" w:hAnsi="Times New Roman"/>
          <w:color w:val="000000"/>
          <w:sz w:val="20"/>
        </w:rPr>
        <w:t>”) from suppliers for use in manufacturing processes, the Company recognizes the potential risk that the sourcing of such minerals from the Democratic Republic of the Congo and adjoining countries (“</w:t>
      </w:r>
      <w:r>
        <w:rPr>
          <w:rFonts w:ascii="Times New Roman" w:hAnsi="Times New Roman"/>
          <w:b/>
          <w:i/>
          <w:color w:val="000000"/>
          <w:sz w:val="20"/>
        </w:rPr>
        <w:t>Covered Countries</w:t>
      </w:r>
      <w:r>
        <w:rPr>
          <w:rFonts w:ascii="Times New Roman" w:hAnsi="Times New Roman"/>
          <w:color w:val="000000"/>
          <w:sz w:val="20"/>
        </w:rPr>
        <w:t>”), as well as from conflict-affected and high-risk areas (“</w:t>
      </w:r>
      <w:r>
        <w:rPr>
          <w:rFonts w:ascii="Times New Roman" w:hAnsi="Times New Roman"/>
          <w:b/>
          <w:i/>
          <w:color w:val="000000"/>
          <w:sz w:val="20"/>
        </w:rPr>
        <w:t>CAHRAs</w:t>
      </w:r>
      <w:r>
        <w:rPr>
          <w:rFonts w:ascii="Times New Roman" w:hAnsi="Times New Roman"/>
          <w:color w:val="000000"/>
          <w:sz w:val="20"/>
        </w:rPr>
        <w:t>”), may contribute to violence and human rights abuses. The Company’s annual Sustainability Report, which addresses these concerns and outlines additional actions undertaken in support of the Company’s social responsibility efforts, is available on the Social Responsibility Webpage.</w:t>
      </w:r>
    </w:p>
    <w:p>
      <w:pPr>
        <w:pStyle w:val="TextBody"/>
        <w:bidi w:val="0"/>
        <w:spacing w:before="0" w:after="0"/>
        <w:jc w:val="left"/>
        <w:rPr>
          <w:color w:val="000000"/>
        </w:rPr>
      </w:pPr>
      <w:r>
        <w:rPr>
          <w:color w:val="000000"/>
        </w:rPr>
        <w:t> </w:t>
      </w:r>
    </w:p>
    <w:p>
      <w:pPr>
        <w:pStyle w:val="TextBody"/>
        <w:bidi w:val="0"/>
        <w:spacing w:before="0" w:after="0"/>
        <w:ind w:left="0" w:right="118" w:firstLine="436"/>
        <w:jc w:val="both"/>
        <w:rPr>
          <w:rFonts w:ascii="Times New Roman" w:hAnsi="Times New Roman"/>
          <w:color w:val="000000"/>
          <w:sz w:val="20"/>
        </w:rPr>
      </w:pPr>
      <w:r>
        <w:rPr>
          <w:rFonts w:ascii="Times New Roman" w:hAnsi="Times New Roman"/>
          <w:color w:val="000000"/>
          <w:sz w:val="20"/>
        </w:rPr>
        <w:t>For purposes of this CMR, the term “products” is used to describe products manufactured (or contracted to be manufactured) by the Company or any of its subsidiaries. As a result, when conducting its conflict minerals analysis as required by the Conflict Minerals Regulations, the Company considered its sole product to be semiconductor components.</w:t>
      </w:r>
    </w:p>
    <w:p>
      <w:pPr>
        <w:pStyle w:val="TextBody"/>
        <w:bidi w:val="0"/>
        <w:spacing w:before="0" w:after="0"/>
        <w:jc w:val="left"/>
        <w:rPr>
          <w:color w:val="000000"/>
        </w:rPr>
      </w:pPr>
      <w:r>
        <w:rPr>
          <w:color w:val="000000"/>
        </w:rPr>
        <w:t> </w:t>
      </w:r>
    </w:p>
    <w:p>
      <w:pPr>
        <w:pStyle w:val="TextBody"/>
        <w:bidi w:val="0"/>
        <w:spacing w:before="0" w:after="0"/>
        <w:ind w:left="0" w:right="117" w:firstLine="436"/>
        <w:jc w:val="both"/>
        <w:rPr>
          <w:rFonts w:ascii="Times New Roman" w:hAnsi="Times New Roman"/>
          <w:color w:val="000000"/>
          <w:sz w:val="20"/>
        </w:rPr>
      </w:pPr>
      <w:r>
        <w:rPr>
          <w:rFonts w:ascii="Times New Roman" w:hAnsi="Times New Roman"/>
          <w:color w:val="000000"/>
          <w:sz w:val="20"/>
        </w:rPr>
        <w:t>This CMR describes the due diligence process undertaken with respect to products that were manufactured, or contracted to be manufactured, during calendar year 2025 and that contain conflict minerals. This CMR is unaudited, as an independent private sector audit is not required pursuant to guidance provided by the Securities and Exchange Commission (the “</w:t>
      </w:r>
      <w:r>
        <w:rPr>
          <w:rFonts w:ascii="Times New Roman" w:hAnsi="Times New Roman"/>
          <w:b/>
          <w:i/>
          <w:color w:val="000000"/>
          <w:sz w:val="20"/>
        </w:rPr>
        <w:t>SEC</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118" w:firstLine="436"/>
        <w:jc w:val="both"/>
        <w:rPr>
          <w:rFonts w:ascii="Times New Roman" w:hAnsi="Times New Roman"/>
          <w:color w:val="000000"/>
          <w:sz w:val="20"/>
        </w:rPr>
      </w:pPr>
      <w:r>
        <w:rPr>
          <w:rFonts w:ascii="Times New Roman" w:hAnsi="Times New Roman"/>
          <w:color w:val="000000"/>
          <w:sz w:val="20"/>
        </w:rPr>
        <w:t>As a result of its inquiry, the Company determined that conflict minerals are necessary for the functionality of the Company’s products. Specifically, these minerals provide internal electrically conductive connections to the various circuit elements required to manufacture a functional semiconductor device and/or provide an electrically conductive path to connect the semiconductor device to the electronic application in which it is used. In sourcing conflict minerals, the Company expects its suppliers to align with the Company’s commitment to responsible social, environmental and ethical practices and implement appropriate measures to create a responsible supply chain.</w:t>
      </w:r>
    </w:p>
    <w:p>
      <w:pPr>
        <w:pStyle w:val="TextBody"/>
        <w:bidi w:val="0"/>
        <w:spacing w:before="0" w:after="0"/>
        <w:jc w:val="left"/>
        <w:rPr>
          <w:color w:val="000000"/>
        </w:rPr>
      </w:pPr>
      <w:r>
        <w:rPr>
          <w:color w:val="000000"/>
        </w:rPr>
        <w:t> </w:t>
      </w:r>
    </w:p>
    <w:p>
      <w:pPr>
        <w:pStyle w:val="TextBody"/>
        <w:bidi w:val="0"/>
        <w:spacing w:before="0" w:after="0"/>
        <w:ind w:left="0" w:right="117" w:firstLine="436"/>
        <w:jc w:val="both"/>
        <w:rPr>
          <w:rFonts w:ascii="Times New Roman" w:hAnsi="Times New Roman"/>
          <w:color w:val="000000"/>
          <w:sz w:val="20"/>
        </w:rPr>
      </w:pPr>
      <w:r>
        <w:rPr>
          <w:rFonts w:ascii="Times New Roman" w:hAnsi="Times New Roman"/>
          <w:color w:val="000000"/>
          <w:sz w:val="20"/>
        </w:rPr>
        <w:t>Conflict minerals are sourced from multiple regions worldwide, and the Company does not seek to exclude minerals originating from Covered Countries and CAHRAs. Rather, the Company is committed to pursuing responsible and conflict-free sourcing of minerals within its supply chain through collaboration with its suppliers and industry partners. This includes the Company’s participation as a member of the Responsible Business Alliance (the “</w:t>
      </w:r>
      <w:r>
        <w:rPr>
          <w:rFonts w:ascii="Times New Roman" w:hAnsi="Times New Roman"/>
          <w:b/>
          <w:i/>
          <w:color w:val="000000"/>
          <w:sz w:val="20"/>
        </w:rPr>
        <w:t>RBA</w:t>
      </w:r>
      <w:r>
        <w:rPr>
          <w:rFonts w:ascii="Times New Roman" w:hAnsi="Times New Roman"/>
          <w:color w:val="000000"/>
          <w:sz w:val="20"/>
        </w:rPr>
        <w:t>”) and a full member of the Responsible Minerals Initiative (the “</w:t>
      </w:r>
      <w:r>
        <w:rPr>
          <w:rFonts w:ascii="Times New Roman" w:hAnsi="Times New Roman"/>
          <w:b/>
          <w:i/>
          <w:color w:val="000000"/>
          <w:sz w:val="20"/>
        </w:rPr>
        <w:t>RMI</w:t>
      </w:r>
      <w:r>
        <w:rPr>
          <w:rFonts w:ascii="Times New Roman" w:hAnsi="Times New Roman"/>
          <w:color w:val="000000"/>
          <w:sz w:val="20"/>
        </w:rPr>
        <w:t>”). As an RMI member, the Company undertakes reasonable due diligence on its supply chain to help ensure that conflict minerals are not sourced from entities supporting or financing armed conflict in the Covered Countries and CAHRAs. The Company also recognizes the importance of supporting responsible mineral sourcing from the Covered Countries and CAHRAs in a manner that does not adversely impact the economies and communities within those regions.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Due Diligence</w:t>
      </w:r>
    </w:p>
    <w:p>
      <w:pPr>
        <w:pStyle w:val="TextBody"/>
        <w:bidi w:val="0"/>
        <w:spacing w:before="0" w:after="0"/>
        <w:jc w:val="left"/>
        <w:rPr>
          <w:color w:val="000000"/>
        </w:rPr>
      </w:pPr>
      <w:r>
        <w:rPr>
          <w:color w:val="000000"/>
        </w:rPr>
        <w:t> </w:t>
      </w:r>
    </w:p>
    <w:p>
      <w:pPr>
        <w:pStyle w:val="TextBody"/>
        <w:bidi w:val="0"/>
        <w:spacing w:before="0" w:after="0"/>
        <w:ind w:left="0" w:right="117" w:firstLine="436"/>
        <w:jc w:val="both"/>
        <w:rPr>
          <w:rFonts w:ascii="Times New Roman" w:hAnsi="Times New Roman"/>
          <w:color w:val="000000"/>
          <w:sz w:val="20"/>
        </w:rPr>
      </w:pPr>
      <w:r>
        <w:rPr>
          <w:rFonts w:ascii="Times New Roman" w:hAnsi="Times New Roman"/>
          <w:color w:val="000000"/>
          <w:sz w:val="20"/>
        </w:rPr>
        <w:t>In accordance with the Conflict Minerals Regulations, the Company conducted a reasonable country of origin inquiry (“</w:t>
      </w:r>
      <w:r>
        <w:rPr>
          <w:rFonts w:ascii="Times New Roman" w:hAnsi="Times New Roman"/>
          <w:b/>
          <w:i/>
          <w:color w:val="000000"/>
          <w:sz w:val="20"/>
        </w:rPr>
        <w:t>RCOI</w:t>
      </w:r>
      <w:r>
        <w:rPr>
          <w:rFonts w:ascii="Times New Roman" w:hAnsi="Times New Roman"/>
          <w:color w:val="000000"/>
          <w:sz w:val="20"/>
        </w:rPr>
        <w:t>”) designed to determine whether any of the conflict minerals in its products originated in a Covered Country or are from recycled or scrap sources. Based on the results of its RCOI, the Company was unable to reasonably conclude that all its conflict minerals did not originate in a Covered Country or come from recycled or scrap sources. The Company has undertaken, and continues to undertake, due diligence on the source and chain of custody of its conflict minerals. In connection with this supply chain due diligence and in accordance with the Organisation for Economic Co-operation and Development (“</w:t>
      </w:r>
      <w:r>
        <w:rPr>
          <w:rFonts w:ascii="Times New Roman" w:hAnsi="Times New Roman"/>
          <w:b/>
          <w:i/>
          <w:color w:val="000000"/>
          <w:sz w:val="20"/>
        </w:rPr>
        <w:t>OECD</w:t>
      </w:r>
      <w:r>
        <w:rPr>
          <w:rFonts w:ascii="Times New Roman" w:hAnsi="Times New Roman"/>
          <w:color w:val="000000"/>
          <w:sz w:val="20"/>
        </w:rPr>
        <w:t>”) Due Diligence Guidance for Responsible Supply Chains of Minerals from Conflict-Affected and High-Risk Areas (Third Edition, OECD 2016) and the related Supplements on 3TG (collectively, the “</w:t>
      </w:r>
      <w:r>
        <w:rPr>
          <w:rFonts w:ascii="Times New Roman" w:hAnsi="Times New Roman"/>
          <w:b/>
          <w:i/>
          <w:color w:val="000000"/>
          <w:sz w:val="20"/>
        </w:rPr>
        <w:t>OECD Guidance</w:t>
      </w:r>
      <w:r>
        <w:rPr>
          <w:rFonts w:ascii="Times New Roman" w:hAnsi="Times New Roman"/>
          <w:color w:val="000000"/>
          <w:sz w:val="20"/>
        </w:rPr>
        <w:t>”), the Company implemented the following steps:</w:t>
      </w:r>
    </w:p>
    <w:p>
      <w:pPr>
        <w:pStyle w:val="TextBody"/>
        <w:bidi w:val="0"/>
        <w:spacing w:before="0" w:after="0"/>
        <w:jc w:val="left"/>
        <w:rPr>
          <w:color w:val="000000"/>
        </w:rPr>
      </w:pPr>
      <w:r>
        <w:rPr>
          <w:color w:val="000000"/>
        </w:rPr>
        <w:t> </w:t>
      </w:r>
    </w:p>
    <w:tbl>
      <w:tblPr>
        <w:tblW w:w="7398" w:type="dxa"/>
        <w:jc w:val="left"/>
        <w:tblInd w:w="0" w:type="dxa"/>
        <w:tblLayout w:type="fixed"/>
        <w:tblCellMar>
          <w:top w:w="0" w:type="dxa"/>
          <w:left w:w="0" w:type="dxa"/>
          <w:bottom w:w="0" w:type="dxa"/>
          <w:right w:w="0" w:type="dxa"/>
        </w:tblCellMar>
      </w:tblPr>
      <w:tblGrid>
        <w:gridCol w:w="38"/>
        <w:gridCol w:w="110"/>
        <w:gridCol w:w="72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left"/>
              <w:rPr>
                <w:b/>
                <w:i/>
              </w:rPr>
            </w:pPr>
            <w:r>
              <w:rPr>
                <w:b/>
                <w:i/>
              </w:rPr>
              <w:t>OECD Guidance Step 1: Establish a strong company management system</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has adopted, and periodically reviews and updates, its Responsible Minerals Sourcing Policy, as appropriate, to reflect the procedures by which the Company and its 3TG suppliers are expected to conduct conflict minerals due diligence. The Company’s Corporate Responsible Minerals Team reviews any changes to the policy or governing documents. This policy is made publicly available on the Social Responsibility Webpage.</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maintains an internal management team to support its conflict minerals supply chain due diligence and has established a due diligence process. This team includes employees from the Company’s supplier quality, external manufacturing operations, global sourcing and procurement, and legal functions. In addition, the Audit Committee of the Board of Directors of the Company reviews the Responsible Minerals Compliance Program on a quarterly basis to monitor progress made toward the program’s objectives.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utilizes the conflict minerals reporting template (“</w:t>
            </w:r>
            <w:r>
              <w:rPr>
                <w:b/>
                <w:i/>
              </w:rPr>
              <w:t>CMRT</w:t>
            </w:r>
            <w:r>
              <w:rPr/>
              <w:t>”), standardized by the RMI, to gather sourcing information from its 3TG suppliers in order to identify whether: (i) conflict minerals sourced by such suppliers originated in Covered Countries or CAHRAs; and (ii) smelters and refiners (collectively, “</w:t>
            </w:r>
            <w:r>
              <w:rPr>
                <w:b/>
                <w:i/>
              </w:rPr>
              <w:t>smelters</w:t>
            </w:r>
            <w:r>
              <w:rPr/>
              <w:t>”) in our supply chain have been validated as conformant in accordance with RMI’s Responsible Minerals Assurance Process (“</w:t>
            </w:r>
            <w:r>
              <w:rPr>
                <w:b/>
                <w:i/>
              </w:rPr>
              <w:t>RMAP</w:t>
            </w:r>
            <w:r>
              <w:rPr/>
              <w:t>”) and its cross-recognized certification programs, which include the London Bullion Metal Association (“</w:t>
            </w:r>
            <w:r>
              <w:rPr>
                <w:b/>
                <w:i/>
              </w:rPr>
              <w:t>LBMA</w:t>
            </w:r>
            <w:r>
              <w:rPr/>
              <w:t>”) Responsible Gold Certification, the Responsible Jewelry Council (“</w:t>
            </w:r>
            <w:r>
              <w:rPr>
                <w:b/>
                <w:i/>
              </w:rPr>
              <w:t>RJC</w:t>
            </w:r>
            <w:r>
              <w:rPr/>
              <w:t>”) Responsible Jewelry Program Chain-of-Custody Certification and other third-party due diligence certification standards.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 xml:space="preserve">A summary of country of origin information for minerals contained in the Company’s products, as collected in connection with its RCOI and due diligence activities, is included as </w:t>
            </w:r>
            <w:r>
              <w:rPr>
                <w:u w:val="single"/>
              </w:rPr>
              <w:t>Appendix A</w:t>
            </w:r>
            <w:r>
              <w:rPr/>
              <w:t xml:space="preserve"> to its CMR.</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has established communication channels with its 3TG suppliers to facilitate inquiries regarding conflict minerals sourcing and to notify suppliers of the risks associated with the use of non-conformant smelters. These channels also serve as grievance mechanisms under the Company’s Responsible Minerals Compliance Program.</w:t>
            </w:r>
          </w:p>
        </w:tc>
      </w:tr>
    </w:tbl>
    <w:p>
      <w:pPr>
        <w:pStyle w:val="TextBody"/>
        <w:bidi w:val="0"/>
        <w:spacing w:before="0" w:after="0"/>
        <w:jc w:val="left"/>
        <w:rPr>
          <w:color w:val="000000"/>
        </w:rPr>
      </w:pPr>
      <w:r>
        <w:rPr>
          <w:color w:val="000000"/>
        </w:rPr>
        <w:t> </w:t>
      </w:r>
    </w:p>
    <w:tbl>
      <w:tblPr>
        <w:tblW w:w="6858" w:type="dxa"/>
        <w:jc w:val="left"/>
        <w:tblInd w:w="0" w:type="dxa"/>
        <w:tblLayout w:type="fixed"/>
        <w:tblCellMar>
          <w:top w:w="0" w:type="dxa"/>
          <w:left w:w="0" w:type="dxa"/>
          <w:bottom w:w="0" w:type="dxa"/>
          <w:right w:w="0" w:type="dxa"/>
        </w:tblCellMar>
      </w:tblPr>
      <w:tblGrid>
        <w:gridCol w:w="38"/>
        <w:gridCol w:w="110"/>
        <w:gridCol w:w="67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0"/>
              <w:jc w:val="left"/>
              <w:rPr>
                <w:b/>
                <w:i/>
              </w:rPr>
            </w:pPr>
            <w:r>
              <w:rPr>
                <w:b/>
                <w:i/>
              </w:rPr>
              <w:t>OECD Guidance Step 2: Identify and assess risk in the supply chain</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conducts an annual supplier outreach campaign, in accordance with its Responsible Minerals Sourcing Policy, requesting updated CMRTs from all identified 3TG suppliers. In addition, the Company issues targeted outreach communications when RMI identifies a smelter as non-conformant, high-risk or no longer operational.</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maintains a centralized database and established processes to monitor, collect, manage and aggregate CMRT responses received from its 3TG suppliers.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utilizes the RMI facility database and RCOI reports to identify suppliers that source minerals from smelters validated as conformant under third-party audit programs and to support its due diligence by validating information provided by 3TG suppliers.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Company’s Responsible Minerals Compliance Team (the “</w:t>
            </w:r>
            <w:r>
              <w:rPr>
                <w:b/>
                <w:i/>
              </w:rPr>
              <w:t>RMC Team</w:t>
            </w:r>
            <w:r>
              <w:rPr/>
              <w:t>”) reviews all CMRT responses for completeness and alignment with the most current CMRT version.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tbl>
      <w:tblPr>
        <w:tblW w:w="8658" w:type="dxa"/>
        <w:jc w:val="left"/>
        <w:tblInd w:w="0" w:type="dxa"/>
        <w:tblLayout w:type="fixed"/>
        <w:tblCellMar>
          <w:top w:w="0" w:type="dxa"/>
          <w:left w:w="0" w:type="dxa"/>
          <w:bottom w:w="0" w:type="dxa"/>
          <w:right w:w="0" w:type="dxa"/>
        </w:tblCellMar>
      </w:tblPr>
      <w:tblGrid>
        <w:gridCol w:w="38"/>
        <w:gridCol w:w="110"/>
        <w:gridCol w:w="85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0"/>
              <w:jc w:val="left"/>
              <w:rPr>
                <w:b/>
                <w:i/>
              </w:rPr>
            </w:pPr>
            <w:r>
              <w:rPr>
                <w:b/>
                <w:i/>
              </w:rPr>
              <w:t>OECD Guidance Step 3: Design and implement a strategy to respond to identified risks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RMC Team reviews and updates its own company-level CMRT to identify potential supply chain risks related to non-RMAP conformant smelters reported by 3TG suppliers.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conducts supplier outreach, including issuing encouragement communications that request that 3TG suppliers remove or replace non-conformant or high-risk smelters. When needed, the Company sends out reminders or escalation communications to request updates.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performs a risk assessment of its 3TG suppliers based on their CMRT responses. Suppliers are evaluated using a risk matrix and assigned one of the following risk ratings:</w:t>
            </w:r>
          </w:p>
        </w:tc>
      </w:tr>
    </w:tbl>
    <w:p>
      <w:pPr>
        <w:pStyle w:val="TextBody"/>
        <w:bidi w:val="0"/>
        <w:spacing w:before="0" w:after="0"/>
        <w:jc w:val="left"/>
        <w:rPr>
          <w:color w:val="000000"/>
        </w:rPr>
      </w:pPr>
      <w:r>
        <w:rPr>
          <w:color w:val="000000"/>
        </w:rPr>
        <w:t> </w:t>
      </w:r>
    </w:p>
    <w:tbl>
      <w:tblPr>
        <w:tblW w:w="8988" w:type="dxa"/>
        <w:jc w:val="left"/>
        <w:tblInd w:w="0" w:type="dxa"/>
        <w:tblLayout w:type="fixed"/>
        <w:tblCellMar>
          <w:top w:w="0" w:type="dxa"/>
          <w:left w:w="0" w:type="dxa"/>
          <w:bottom w:w="0" w:type="dxa"/>
          <w:right w:w="0" w:type="dxa"/>
        </w:tblCellMar>
      </w:tblPr>
      <w:tblGrid>
        <w:gridCol w:w="38"/>
        <w:gridCol w:w="110"/>
        <w:gridCol w:w="8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0"/>
              <w:jc w:val="both"/>
              <w:rPr/>
            </w:pPr>
            <w:r>
              <w:rPr/>
              <w:t>Low Risk – The supplier sources 3TG exclusively from smelters that are RMAP conformant.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Medium Risk – The supplier sources 3TG from an active or non-conformant smelter that is eligible to participate in the RMAP.</w:t>
            </w:r>
          </w:p>
        </w:tc>
      </w:tr>
    </w:tbl>
    <w:p>
      <w:pPr>
        <w:pStyle w:val="TextBody"/>
        <w:bidi w:val="0"/>
        <w:spacing w:before="0" w:after="0"/>
        <w:jc w:val="left"/>
        <w:rPr>
          <w:color w:val="000000"/>
        </w:rPr>
      </w:pPr>
      <w:r>
        <w:rPr>
          <w:color w:val="000000"/>
        </w:rPr>
        <w:t> </w:t>
      </w:r>
    </w:p>
    <w:tbl>
      <w:tblPr>
        <w:tblW w:w="8283" w:type="dxa"/>
        <w:jc w:val="left"/>
        <w:tblInd w:w="0" w:type="dxa"/>
        <w:tblLayout w:type="fixed"/>
        <w:tblCellMar>
          <w:top w:w="0" w:type="dxa"/>
          <w:left w:w="0" w:type="dxa"/>
          <w:bottom w:w="0" w:type="dxa"/>
          <w:right w:w="0" w:type="dxa"/>
        </w:tblCellMar>
      </w:tblPr>
      <w:tblGrid>
        <w:gridCol w:w="38"/>
        <w:gridCol w:w="110"/>
        <w:gridCol w:w="81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0"/>
              <w:jc w:val="both"/>
              <w:rPr/>
            </w:pPr>
            <w:r>
              <w:rPr/>
              <w:t>High Risk – The supplier sources 3TG from a high-risk smelter or an ineligible entity.</w:t>
            </w:r>
          </w:p>
        </w:tc>
      </w:tr>
    </w:tbl>
    <w:p>
      <w:pPr>
        <w:pStyle w:val="TextBody"/>
        <w:bidi w:val="0"/>
        <w:spacing w:before="0" w:after="0"/>
        <w:jc w:val="left"/>
        <w:rPr>
          <w:color w:val="000000"/>
        </w:rPr>
      </w:pPr>
      <w:r>
        <w:rPr>
          <w:color w:val="000000"/>
        </w:rPr>
        <w:t> </w:t>
      </w:r>
    </w:p>
    <w:tbl>
      <w:tblPr>
        <w:tblW w:w="7923" w:type="dxa"/>
        <w:jc w:val="left"/>
        <w:tblInd w:w="0" w:type="dxa"/>
        <w:tblLayout w:type="fixed"/>
        <w:tblCellMar>
          <w:top w:w="0" w:type="dxa"/>
          <w:left w:w="0" w:type="dxa"/>
          <w:bottom w:w="0" w:type="dxa"/>
          <w:right w:w="0" w:type="dxa"/>
        </w:tblCellMar>
      </w:tblPr>
      <w:tblGrid>
        <w:gridCol w:w="38"/>
        <w:gridCol w:w="110"/>
        <w:gridCol w:w="77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0"/>
              <w:jc w:val="both"/>
              <w:rPr/>
            </w:pPr>
            <w:r>
              <w:rPr/>
              <w:t>Incorporate conflict minerals compliance into the Company’s Supplier Handbook.</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Embed conflict minerals requirements into RBA supplier engagement, new supplier and materials qualifications, and process change management.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b/>
                <w:i/>
              </w:rPr>
            </w:pPr>
            <w:r>
              <w:rPr>
                <w:b/>
                <w:i/>
              </w:rPr>
              <w:t>OECD Guidance Step 4: Carry out an independent third-party audit of smelters’ due diligence practices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is an active member of RMI, which uses independent third-party assessments of smelter and refiner management systems and sourcing practices to evaluate compliance with RMAP. The Company relies on RMI due diligence and RMAP audit results, including the RMI RCOI reports.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Members of the RMC Team participate in RMI working groups that support the ongoing enhancement of RMI programs and tools.</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also supports the RMI Smelter Assessment Fund, which encourages RMAP-eligible smelters and refiners to undergo independent third-party assessments.</w:t>
            </w:r>
          </w:p>
        </w:tc>
      </w:tr>
    </w:tbl>
    <w:p>
      <w:pPr>
        <w:pStyle w:val="TextBody"/>
        <w:bidi w:val="0"/>
        <w:spacing w:before="0" w:after="0"/>
        <w:jc w:val="left"/>
        <w:rPr>
          <w:color w:val="000000"/>
        </w:rPr>
      </w:pPr>
      <w:r>
        <w:rPr>
          <w:color w:val="000000"/>
        </w:rPr>
        <w:t> </w:t>
      </w:r>
    </w:p>
    <w:tbl>
      <w:tblPr>
        <w:tblW w:w="7248" w:type="dxa"/>
        <w:jc w:val="left"/>
        <w:tblInd w:w="0" w:type="dxa"/>
        <w:tblLayout w:type="fixed"/>
        <w:tblCellMar>
          <w:top w:w="0" w:type="dxa"/>
          <w:left w:w="0" w:type="dxa"/>
          <w:bottom w:w="0" w:type="dxa"/>
          <w:right w:w="0" w:type="dxa"/>
        </w:tblCellMar>
      </w:tblPr>
      <w:tblGrid>
        <w:gridCol w:w="38"/>
        <w:gridCol w:w="110"/>
        <w:gridCol w:w="71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0"/>
              <w:jc w:val="left"/>
              <w:rPr>
                <w:b/>
                <w:i/>
              </w:rPr>
            </w:pPr>
            <w:r>
              <w:rPr>
                <w:b/>
                <w:i/>
              </w:rPr>
              <w:t>OECD Guidance Step 5: Report annually on supply chain due diligence</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Company is an indirect purchaser of conflict minerals, and its due diligence measures provide reasonable, not absolute, assurance regarding the source and chain of custody of such minerals. The Company’s due diligence process relies on information provided by its direct suppliers, who in turn seek similar information from their supply chains to identify the original sources of conflict minerals. The Company also relies to a significant extent on data collected through RMI’s independent third-party audit programs. As with any supply chain due diligence process, the information obtained may be incomplete, inaccurate or subject to misrepresentation. To support a reliable and consistent due diligence framework, the Company requests updated CMRTs from all identified 3TG suppliers on an annual basis. If a supplier is found to be non-compliant with the Company’s Responsible Minerals Sourcing Policy, an escalation process is initiated to determine appropriate remedial actions, which may include removal of the supplier from our supply chain.</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 xml:space="preserve">The Company prepares and files a conflict minerals report as an exhibit to its Specialized Disclosure Report on Securities and Exchange Commission Form SD with the SEC on an annual basis. The conflict minerals report is made available to the public and posted on the Company’s website at </w:t>
            </w:r>
            <w:r>
              <w:rPr>
                <w:u w:val="single"/>
              </w:rPr>
              <w:t>https://www.onsemi.com/site/pdf/Annual-Conflict-Minerals-Report.pdf</w:t>
            </w:r>
            <w:r>
              <w:rPr/>
              <w: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 xml:space="preserve">The Company also publicly posts and periodically updates the company-level CMRT on its website at </w:t>
            </w:r>
            <w:r>
              <w:rPr>
                <w:u w:val="single"/>
              </w:rPr>
              <w:t>https://www.onsemi.com/pub/Collateral/CMRTRM.XLSX</w:t>
            </w:r>
            <w:r>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Due Diligence Results</w:t>
      </w:r>
    </w:p>
    <w:p>
      <w:pPr>
        <w:pStyle w:val="TextBody"/>
        <w:bidi w:val="0"/>
        <w:spacing w:before="0" w:after="0"/>
        <w:jc w:val="left"/>
        <w:rPr/>
      </w:pPr>
      <w:r>
        <w:rPr/>
      </w:r>
    </w:p>
    <w:p>
      <w:pPr>
        <w:pStyle w:val="TextBody"/>
        <w:bidi w:val="0"/>
        <w:spacing w:before="0" w:after="0"/>
        <w:ind w:left="555" w:right="0" w:hanging="0"/>
        <w:jc w:val="both"/>
        <w:rPr>
          <w:rFonts w:ascii="Times New Roman" w:hAnsi="Times New Roman"/>
          <w:color w:val="000000"/>
          <w:sz w:val="20"/>
        </w:rPr>
      </w:pPr>
      <w:r>
        <w:rPr>
          <w:rFonts w:ascii="Times New Roman" w:hAnsi="Times New Roman"/>
          <w:color w:val="000000"/>
          <w:sz w:val="20"/>
          <w:u w:val="single"/>
        </w:rPr>
        <w:t>Appendix B</w:t>
      </w:r>
      <w:r>
        <w:rPr>
          <w:rFonts w:ascii="Times New Roman" w:hAnsi="Times New Roman"/>
          <w:color w:val="000000"/>
          <w:sz w:val="20"/>
        </w:rPr>
        <w:t xml:space="preserve"> sets forth a list of smelters, as provided by the Company’s 3TG suppliers, including mineral type and standard smelter names. As of December 31, 2025, 99.5% of these smelters were included on the RMAP Conformant List. Based on the Company’s ongoing due diligence efforts involving its 3TG suppliers and smelters, information provided by suppliers and other information available indicate that all the smelters used were 100% RMAP conformant for reporting years 2022-2024, as reflected in the chart below. While the majority of the Company’s suppliers provide product-level declarations, certain suppliers provide declarations only at the company level, thereby limiting information specific to the Company’s products.</w:t>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6391275" cy="2733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391275" cy="27336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ind w:left="562" w:right="0" w:hanging="0"/>
        <w:jc w:val="left"/>
        <w:rPr>
          <w:rFonts w:ascii="Times New Roman" w:hAnsi="Times New Roman"/>
          <w:color w:val="000000"/>
          <w:sz w:val="20"/>
        </w:rPr>
      </w:pPr>
      <w:r>
        <w:rPr>
          <w:rFonts w:ascii="Times New Roman" w:hAnsi="Times New Roman"/>
          <w:color w:val="000000"/>
          <w:sz w:val="20"/>
        </w:rPr>
        <w:t>The smelter or refiner statuses used in the chart have the following definitions:</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Conformant </w:t>
            </w:r>
            <w:r>
              <w:rPr/>
              <w:t>– A smelter has been independently assessed, found to meet the applicable RMAP standard and is included in the Standard Smelter List.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Active</w:t>
            </w:r>
            <w:r>
              <w:rPr/>
              <w:t xml:space="preserve"> – A smelter has been engaged in the RMAP assessment but has not yet been determined to be conformant and is included in the Standard Smelter List.</w:t>
            </w:r>
          </w:p>
        </w:tc>
      </w:tr>
    </w:tbl>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Non-conformant</w:t>
            </w:r>
            <w:r>
              <w:rPr/>
              <w:t xml:space="preserve"> – A smelter meets the definition of a smelter or refiner, is identified as an eligible smelter, has been independently assessed and found non-conformant with the relevant RMAP standards and is included in the Standard Smelter List.</w:t>
            </w:r>
          </w:p>
        </w:tc>
      </w:tr>
    </w:tbl>
    <w:p>
      <w:pPr>
        <w:pStyle w:val="TextBody"/>
        <w:bidi w:val="0"/>
        <w:spacing w:before="0" w:after="0"/>
        <w:jc w:val="left"/>
        <w:rPr>
          <w:color w:val="000000"/>
        </w:rPr>
      </w:pPr>
      <w:r>
        <w:rPr>
          <w:color w:val="000000"/>
        </w:rPr>
        <w:t> </w:t>
      </w:r>
    </w:p>
    <w:p>
      <w:pPr>
        <w:pStyle w:val="TextBody"/>
        <w:bidi w:val="0"/>
        <w:spacing w:before="0" w:after="0"/>
        <w:ind w:left="720" w:right="115" w:hanging="0"/>
        <w:jc w:val="left"/>
        <w:rPr>
          <w:rFonts w:ascii="Times New Roman" w:hAnsi="Times New Roman"/>
          <w:color w:val="000000"/>
          <w:sz w:val="20"/>
        </w:rPr>
      </w:pPr>
      <w:r>
        <w:rPr>
          <w:rFonts w:ascii="Times New Roman" w:hAnsi="Times New Roman"/>
          <w:color w:val="000000"/>
          <w:sz w:val="20"/>
        </w:rPr>
        <w:t>For the year ended December 31, 2025, all 3TG smelters were reported to be 99.5% RMAP conformant, as shown in the table below:</w:t>
      </w:r>
    </w:p>
    <w:p>
      <w:pPr>
        <w:pStyle w:val="TextBody"/>
        <w:bidi w:val="0"/>
        <w:spacing w:before="0" w:after="0"/>
        <w:jc w:val="left"/>
        <w:rPr>
          <w:color w:val="000000"/>
        </w:rPr>
      </w:pPr>
      <w:r>
        <w:rPr>
          <w:color w:val="000000"/>
        </w:rPr>
        <w:t> </w:t>
      </w:r>
    </w:p>
    <w:p>
      <w:pPr>
        <w:pStyle w:val="TextBody"/>
        <w:bidi w:val="0"/>
        <w:spacing w:before="0" w:after="0"/>
        <w:jc w:val="center"/>
        <w:rPr>
          <w:color w:val="000000"/>
        </w:rPr>
      </w:pPr>
      <w:r>
        <w:rPr>
          <w:color w:val="000000"/>
        </w:rPr>
        <w:drawing>
          <wp:inline distT="0" distB="0" distL="0" distR="0">
            <wp:extent cx="6477000" cy="1209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77000" cy="12096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1350" w:right="0" w:hanging="1350"/>
        <w:jc w:val="left"/>
        <w:rPr>
          <w:rFonts w:ascii="Times New Roman" w:hAnsi="Times New Roman"/>
          <w:b/>
          <w:color w:val="000000"/>
          <w:sz w:val="20"/>
          <w:u w:val="single"/>
        </w:rPr>
      </w:pPr>
      <w:r>
        <w:rPr>
          <w:rFonts w:ascii="Times New Roman" w:hAnsi="Times New Roman"/>
          <w:b/>
          <w:color w:val="000000"/>
          <w:sz w:val="20"/>
          <w:u w:val="single"/>
        </w:rPr>
        <w:t>APPENDIX A</w:t>
      </w:r>
    </w:p>
    <w:p>
      <w:pPr>
        <w:pStyle w:val="TextBody"/>
        <w:bidi w:val="0"/>
        <w:spacing w:before="0" w:after="0"/>
        <w:jc w:val="left"/>
        <w:rPr>
          <w:color w:val="000000"/>
        </w:rPr>
      </w:pPr>
      <w:r>
        <w:rPr>
          <w:color w:val="000000"/>
        </w:rPr>
        <w:t> </w:t>
      </w:r>
    </w:p>
    <w:p>
      <w:pPr>
        <w:pStyle w:val="TextBody"/>
        <w:bidi w:val="0"/>
        <w:spacing w:before="0" w:after="0"/>
        <w:ind w:left="0" w:right="119" w:hanging="0"/>
        <w:jc w:val="both"/>
        <w:rPr>
          <w:rFonts w:ascii="Times New Roman" w:hAnsi="Times New Roman"/>
          <w:color w:val="000000"/>
          <w:sz w:val="20"/>
        </w:rPr>
      </w:pPr>
      <w:r>
        <w:rPr>
          <w:rFonts w:ascii="Times New Roman" w:hAnsi="Times New Roman"/>
          <w:color w:val="000000"/>
          <w:sz w:val="20"/>
        </w:rPr>
        <w:t xml:space="preserve">Below is a summary of the country of origin information for minerals used in </w:t>
      </w:r>
      <w:r>
        <w:rPr>
          <w:rFonts w:ascii="Times New Roman" w:hAnsi="Times New Roman"/>
          <w:b/>
          <w:color w:val="000000"/>
          <w:sz w:val="20"/>
        </w:rPr>
        <w:t>onsemi</w:t>
      </w:r>
      <w:r>
        <w:rPr>
          <w:rFonts w:ascii="Times New Roman" w:hAnsi="Times New Roman"/>
          <w:color w:val="000000"/>
          <w:sz w:val="20"/>
        </w:rPr>
        <w:t xml:space="preserve"> products, based on the Company’s due diligence activities and information available as of December 31, 2025.</w:t>
      </w:r>
    </w:p>
    <w:p>
      <w:pPr>
        <w:pStyle w:val="TextBody"/>
        <w:bidi w:val="0"/>
        <w:spacing w:before="0" w:after="0"/>
        <w:jc w:val="left"/>
        <w:rPr>
          <w:color w:val="000000"/>
        </w:rPr>
      </w:pPr>
      <w:r>
        <w:rPr>
          <w:color w:val="000000"/>
        </w:rPr>
        <w:t> </w:t>
      </w:r>
    </w:p>
    <w:tbl>
      <w:tblPr>
        <w:tblW w:w="7815" w:type="dxa"/>
        <w:jc w:val="left"/>
        <w:tblInd w:w="0" w:type="dxa"/>
        <w:tblLayout w:type="fixed"/>
        <w:tblCellMar>
          <w:top w:w="0" w:type="dxa"/>
          <w:left w:w="0" w:type="dxa"/>
          <w:bottom w:w="0" w:type="dxa"/>
          <w:right w:w="0" w:type="dxa"/>
        </w:tblCellMar>
      </w:tblPr>
      <w:tblGrid>
        <w:gridCol w:w="3395"/>
        <w:gridCol w:w="1835"/>
        <w:gridCol w:w="2585"/>
      </w:tblGrid>
      <w:tr>
        <w:trPr/>
        <w:tc>
          <w:tcPr>
            <w:tcW w:w="3395" w:type="dxa"/>
            <w:tcBorders/>
            <w:vAlign w:val="center"/>
          </w:tcPr>
          <w:p>
            <w:pPr>
              <w:pStyle w:val="TableContents"/>
              <w:bidi w:val="0"/>
              <w:spacing w:before="0" w:after="0"/>
              <w:jc w:val="left"/>
              <w:rPr>
                <w:color w:val="000000"/>
              </w:rPr>
            </w:pPr>
            <w:r>
              <w:rPr>
                <w:color w:val="000000"/>
              </w:rPr>
              <w:t>Australia</w:t>
            </w:r>
          </w:p>
        </w:tc>
        <w:tc>
          <w:tcPr>
            <w:tcW w:w="1835" w:type="dxa"/>
            <w:tcBorders/>
            <w:vAlign w:val="center"/>
          </w:tcPr>
          <w:p>
            <w:pPr>
              <w:pStyle w:val="TableContents"/>
              <w:bidi w:val="0"/>
              <w:spacing w:before="0" w:after="0"/>
              <w:jc w:val="left"/>
              <w:rPr>
                <w:color w:val="000000"/>
              </w:rPr>
            </w:pPr>
            <w:r>
              <w:rPr>
                <w:color w:val="000000"/>
              </w:rPr>
              <w:t>India</w:t>
            </w:r>
          </w:p>
        </w:tc>
        <w:tc>
          <w:tcPr>
            <w:tcW w:w="2585" w:type="dxa"/>
            <w:tcBorders/>
            <w:vAlign w:val="center"/>
          </w:tcPr>
          <w:p>
            <w:pPr>
              <w:pStyle w:val="TableContents"/>
              <w:bidi w:val="0"/>
              <w:spacing w:before="0" w:after="0"/>
              <w:jc w:val="left"/>
              <w:rPr>
                <w:color w:val="000000"/>
              </w:rPr>
            </w:pPr>
            <w:r>
              <w:rPr>
                <w:color w:val="000000"/>
              </w:rPr>
              <w:t>Singapore</w:t>
            </w:r>
          </w:p>
        </w:tc>
      </w:tr>
      <w:tr>
        <w:trPr/>
        <w:tc>
          <w:tcPr>
            <w:tcW w:w="3395" w:type="dxa"/>
            <w:tcBorders/>
            <w:vAlign w:val="center"/>
          </w:tcPr>
          <w:p>
            <w:pPr>
              <w:pStyle w:val="TableContents"/>
              <w:bidi w:val="0"/>
              <w:spacing w:before="0" w:after="0"/>
              <w:jc w:val="left"/>
              <w:rPr>
                <w:color w:val="000000"/>
              </w:rPr>
            </w:pPr>
            <w:r>
              <w:rPr>
                <w:color w:val="000000"/>
              </w:rPr>
              <w:t>Austria</w:t>
            </w:r>
          </w:p>
        </w:tc>
        <w:tc>
          <w:tcPr>
            <w:tcW w:w="1835" w:type="dxa"/>
            <w:tcBorders/>
            <w:vAlign w:val="center"/>
          </w:tcPr>
          <w:p>
            <w:pPr>
              <w:pStyle w:val="TableContents"/>
              <w:bidi w:val="0"/>
              <w:spacing w:before="0" w:after="0"/>
              <w:jc w:val="left"/>
              <w:rPr>
                <w:color w:val="000000"/>
              </w:rPr>
            </w:pPr>
            <w:r>
              <w:rPr>
                <w:color w:val="000000"/>
              </w:rPr>
              <w:t>Indonesia</w:t>
            </w:r>
          </w:p>
        </w:tc>
        <w:tc>
          <w:tcPr>
            <w:tcW w:w="2585" w:type="dxa"/>
            <w:tcBorders/>
            <w:vAlign w:val="center"/>
          </w:tcPr>
          <w:p>
            <w:pPr>
              <w:pStyle w:val="TableContents"/>
              <w:bidi w:val="0"/>
              <w:spacing w:before="0" w:after="0"/>
              <w:jc w:val="left"/>
              <w:rPr>
                <w:color w:val="000000"/>
              </w:rPr>
            </w:pPr>
            <w:r>
              <w:rPr>
                <w:color w:val="000000"/>
              </w:rPr>
              <w:t>South Africa</w:t>
            </w:r>
          </w:p>
        </w:tc>
      </w:tr>
      <w:tr>
        <w:trPr/>
        <w:tc>
          <w:tcPr>
            <w:tcW w:w="3395" w:type="dxa"/>
            <w:tcBorders/>
            <w:vAlign w:val="center"/>
          </w:tcPr>
          <w:p>
            <w:pPr>
              <w:pStyle w:val="TableContents"/>
              <w:bidi w:val="0"/>
              <w:spacing w:before="0" w:after="0"/>
              <w:jc w:val="left"/>
              <w:rPr>
                <w:color w:val="000000"/>
              </w:rPr>
            </w:pPr>
            <w:r>
              <w:rPr>
                <w:color w:val="000000"/>
              </w:rPr>
              <w:t>Belgium</w:t>
            </w:r>
          </w:p>
        </w:tc>
        <w:tc>
          <w:tcPr>
            <w:tcW w:w="1835" w:type="dxa"/>
            <w:tcBorders/>
            <w:vAlign w:val="center"/>
          </w:tcPr>
          <w:p>
            <w:pPr>
              <w:pStyle w:val="TableContents"/>
              <w:bidi w:val="0"/>
              <w:spacing w:before="0" w:after="0"/>
              <w:jc w:val="left"/>
              <w:rPr>
                <w:color w:val="000000"/>
              </w:rPr>
            </w:pPr>
            <w:r>
              <w:rPr>
                <w:color w:val="000000"/>
              </w:rPr>
              <w:t>Italy</w:t>
            </w:r>
          </w:p>
        </w:tc>
        <w:tc>
          <w:tcPr>
            <w:tcW w:w="2585" w:type="dxa"/>
            <w:tcBorders/>
            <w:vAlign w:val="center"/>
          </w:tcPr>
          <w:p>
            <w:pPr>
              <w:pStyle w:val="TableContents"/>
              <w:bidi w:val="0"/>
              <w:spacing w:before="0" w:after="0"/>
              <w:jc w:val="left"/>
              <w:rPr>
                <w:color w:val="000000"/>
              </w:rPr>
            </w:pPr>
            <w:r>
              <w:rPr>
                <w:color w:val="000000"/>
              </w:rPr>
              <w:t>Spain</w:t>
            </w:r>
          </w:p>
        </w:tc>
      </w:tr>
      <w:tr>
        <w:trPr/>
        <w:tc>
          <w:tcPr>
            <w:tcW w:w="3395" w:type="dxa"/>
            <w:tcBorders/>
            <w:vAlign w:val="center"/>
          </w:tcPr>
          <w:p>
            <w:pPr>
              <w:pStyle w:val="TableContents"/>
              <w:bidi w:val="0"/>
              <w:spacing w:before="0" w:after="0"/>
              <w:jc w:val="left"/>
              <w:rPr>
                <w:color w:val="000000"/>
              </w:rPr>
            </w:pPr>
            <w:r>
              <w:rPr>
                <w:color w:val="000000"/>
              </w:rPr>
              <w:t>Bolivia (Plurinational State of)</w:t>
            </w:r>
          </w:p>
        </w:tc>
        <w:tc>
          <w:tcPr>
            <w:tcW w:w="1835" w:type="dxa"/>
            <w:tcBorders/>
            <w:vAlign w:val="center"/>
          </w:tcPr>
          <w:p>
            <w:pPr>
              <w:pStyle w:val="TableContents"/>
              <w:bidi w:val="0"/>
              <w:spacing w:before="0" w:after="0"/>
              <w:jc w:val="left"/>
              <w:rPr>
                <w:color w:val="000000"/>
              </w:rPr>
            </w:pPr>
            <w:r>
              <w:rPr>
                <w:color w:val="000000"/>
              </w:rPr>
              <w:t>Japan</w:t>
            </w:r>
          </w:p>
        </w:tc>
        <w:tc>
          <w:tcPr>
            <w:tcW w:w="2585" w:type="dxa"/>
            <w:tcBorders/>
            <w:vAlign w:val="center"/>
          </w:tcPr>
          <w:p>
            <w:pPr>
              <w:pStyle w:val="TableContents"/>
              <w:bidi w:val="0"/>
              <w:spacing w:before="0" w:after="0"/>
              <w:jc w:val="left"/>
              <w:rPr>
                <w:color w:val="000000"/>
              </w:rPr>
            </w:pPr>
            <w:r>
              <w:rPr>
                <w:color w:val="000000"/>
              </w:rPr>
              <w:t>Sweden</w:t>
            </w:r>
          </w:p>
        </w:tc>
      </w:tr>
      <w:tr>
        <w:trPr/>
        <w:tc>
          <w:tcPr>
            <w:tcW w:w="3395" w:type="dxa"/>
            <w:tcBorders/>
            <w:vAlign w:val="center"/>
          </w:tcPr>
          <w:p>
            <w:pPr>
              <w:pStyle w:val="TableContents"/>
              <w:bidi w:val="0"/>
              <w:spacing w:before="0" w:after="0"/>
              <w:jc w:val="left"/>
              <w:rPr>
                <w:color w:val="000000"/>
              </w:rPr>
            </w:pPr>
            <w:r>
              <w:rPr>
                <w:color w:val="000000"/>
              </w:rPr>
              <w:t>Brazil</w:t>
            </w:r>
          </w:p>
        </w:tc>
        <w:tc>
          <w:tcPr>
            <w:tcW w:w="1835" w:type="dxa"/>
            <w:tcBorders/>
            <w:vAlign w:val="center"/>
          </w:tcPr>
          <w:p>
            <w:pPr>
              <w:pStyle w:val="TableContents"/>
              <w:bidi w:val="0"/>
              <w:spacing w:before="0" w:after="0"/>
              <w:jc w:val="left"/>
              <w:rPr>
                <w:color w:val="000000"/>
              </w:rPr>
            </w:pPr>
            <w:r>
              <w:rPr>
                <w:color w:val="000000"/>
              </w:rPr>
              <w:t>Kazakhstan</w:t>
            </w:r>
          </w:p>
        </w:tc>
        <w:tc>
          <w:tcPr>
            <w:tcW w:w="2585" w:type="dxa"/>
            <w:tcBorders/>
            <w:vAlign w:val="center"/>
          </w:tcPr>
          <w:p>
            <w:pPr>
              <w:pStyle w:val="TableContents"/>
              <w:bidi w:val="0"/>
              <w:spacing w:before="0" w:after="0"/>
              <w:jc w:val="left"/>
              <w:rPr>
                <w:color w:val="000000"/>
              </w:rPr>
            </w:pPr>
            <w:r>
              <w:rPr>
                <w:color w:val="000000"/>
              </w:rPr>
              <w:t>Switzerland</w:t>
            </w:r>
          </w:p>
        </w:tc>
      </w:tr>
      <w:tr>
        <w:trPr/>
        <w:tc>
          <w:tcPr>
            <w:tcW w:w="3395" w:type="dxa"/>
            <w:tcBorders/>
            <w:vAlign w:val="center"/>
          </w:tcPr>
          <w:p>
            <w:pPr>
              <w:pStyle w:val="TableContents"/>
              <w:bidi w:val="0"/>
              <w:spacing w:before="0" w:after="0"/>
              <w:jc w:val="left"/>
              <w:rPr>
                <w:color w:val="000000"/>
              </w:rPr>
            </w:pPr>
            <w:r>
              <w:rPr>
                <w:color w:val="000000"/>
              </w:rPr>
              <w:t>Canada</w:t>
            </w:r>
          </w:p>
        </w:tc>
        <w:tc>
          <w:tcPr>
            <w:tcW w:w="1835" w:type="dxa"/>
            <w:tcBorders/>
            <w:vAlign w:val="center"/>
          </w:tcPr>
          <w:p>
            <w:pPr>
              <w:pStyle w:val="TableContents"/>
              <w:bidi w:val="0"/>
              <w:spacing w:before="0" w:after="0"/>
              <w:jc w:val="left"/>
              <w:rPr>
                <w:color w:val="000000"/>
              </w:rPr>
            </w:pPr>
            <w:r>
              <w:rPr>
                <w:color w:val="000000"/>
              </w:rPr>
              <w:t>Korea, Republic of</w:t>
            </w:r>
          </w:p>
        </w:tc>
        <w:tc>
          <w:tcPr>
            <w:tcW w:w="2585" w:type="dxa"/>
            <w:tcBorders/>
            <w:vAlign w:val="center"/>
          </w:tcPr>
          <w:p>
            <w:pPr>
              <w:pStyle w:val="TableContents"/>
              <w:bidi w:val="0"/>
              <w:spacing w:before="0" w:after="0"/>
              <w:jc w:val="left"/>
              <w:rPr>
                <w:color w:val="000000"/>
              </w:rPr>
            </w:pPr>
            <w:r>
              <w:rPr>
                <w:color w:val="000000"/>
              </w:rPr>
              <w:t>Taiwan, Province of China</w:t>
            </w:r>
          </w:p>
        </w:tc>
      </w:tr>
      <w:tr>
        <w:trPr/>
        <w:tc>
          <w:tcPr>
            <w:tcW w:w="3395" w:type="dxa"/>
            <w:tcBorders/>
            <w:vAlign w:val="center"/>
          </w:tcPr>
          <w:p>
            <w:pPr>
              <w:pStyle w:val="TableContents"/>
              <w:bidi w:val="0"/>
              <w:spacing w:before="0" w:after="0"/>
              <w:jc w:val="left"/>
              <w:rPr>
                <w:color w:val="000000"/>
              </w:rPr>
            </w:pPr>
            <w:r>
              <w:rPr>
                <w:color w:val="000000"/>
              </w:rPr>
              <w:t>Chile</w:t>
            </w:r>
          </w:p>
        </w:tc>
        <w:tc>
          <w:tcPr>
            <w:tcW w:w="1835" w:type="dxa"/>
            <w:tcBorders/>
            <w:vAlign w:val="center"/>
          </w:tcPr>
          <w:p>
            <w:pPr>
              <w:pStyle w:val="TableContents"/>
              <w:bidi w:val="0"/>
              <w:spacing w:before="0" w:after="0"/>
              <w:jc w:val="left"/>
              <w:rPr>
                <w:color w:val="000000"/>
              </w:rPr>
            </w:pPr>
            <w:r>
              <w:rPr>
                <w:color w:val="000000"/>
              </w:rPr>
              <w:t>Malaysia</w:t>
            </w:r>
          </w:p>
        </w:tc>
        <w:tc>
          <w:tcPr>
            <w:tcW w:w="2585" w:type="dxa"/>
            <w:tcBorders/>
            <w:vAlign w:val="center"/>
          </w:tcPr>
          <w:p>
            <w:pPr>
              <w:pStyle w:val="TableContents"/>
              <w:bidi w:val="0"/>
              <w:spacing w:before="0" w:after="0"/>
              <w:jc w:val="left"/>
              <w:rPr>
                <w:color w:val="000000"/>
              </w:rPr>
            </w:pPr>
            <w:r>
              <w:rPr>
                <w:color w:val="000000"/>
              </w:rPr>
              <w:t>Tanzania, Republic of</w:t>
            </w:r>
          </w:p>
        </w:tc>
      </w:tr>
      <w:tr>
        <w:trPr/>
        <w:tc>
          <w:tcPr>
            <w:tcW w:w="3395" w:type="dxa"/>
            <w:tcBorders/>
            <w:vAlign w:val="center"/>
          </w:tcPr>
          <w:p>
            <w:pPr>
              <w:pStyle w:val="TableContents"/>
              <w:bidi w:val="0"/>
              <w:spacing w:before="0" w:after="0"/>
              <w:jc w:val="left"/>
              <w:rPr>
                <w:color w:val="000000"/>
              </w:rPr>
            </w:pPr>
            <w:r>
              <w:rPr>
                <w:color w:val="000000"/>
              </w:rPr>
              <w:t>China</w:t>
            </w:r>
          </w:p>
        </w:tc>
        <w:tc>
          <w:tcPr>
            <w:tcW w:w="1835" w:type="dxa"/>
            <w:tcBorders/>
            <w:vAlign w:val="center"/>
          </w:tcPr>
          <w:p>
            <w:pPr>
              <w:pStyle w:val="TableContents"/>
              <w:bidi w:val="0"/>
              <w:spacing w:before="0" w:after="0"/>
              <w:jc w:val="left"/>
              <w:rPr>
                <w:color w:val="000000"/>
              </w:rPr>
            </w:pPr>
            <w:r>
              <w:rPr>
                <w:color w:val="000000"/>
              </w:rPr>
              <w:t>Mexico</w:t>
            </w:r>
          </w:p>
        </w:tc>
        <w:tc>
          <w:tcPr>
            <w:tcW w:w="2585" w:type="dxa"/>
            <w:tcBorders/>
            <w:vAlign w:val="center"/>
          </w:tcPr>
          <w:p>
            <w:pPr>
              <w:pStyle w:val="TableContents"/>
              <w:bidi w:val="0"/>
              <w:spacing w:before="0" w:after="0"/>
              <w:jc w:val="left"/>
              <w:rPr>
                <w:color w:val="000000"/>
              </w:rPr>
            </w:pPr>
            <w:r>
              <w:rPr>
                <w:color w:val="000000"/>
              </w:rPr>
              <w:t>Thailand</w:t>
            </w:r>
          </w:p>
        </w:tc>
      </w:tr>
      <w:tr>
        <w:trPr/>
        <w:tc>
          <w:tcPr>
            <w:tcW w:w="3395" w:type="dxa"/>
            <w:tcBorders/>
            <w:vAlign w:val="center"/>
          </w:tcPr>
          <w:p>
            <w:pPr>
              <w:pStyle w:val="TableContents"/>
              <w:bidi w:val="0"/>
              <w:spacing w:before="0" w:after="0"/>
              <w:jc w:val="left"/>
              <w:rPr>
                <w:color w:val="000000"/>
              </w:rPr>
            </w:pPr>
            <w:r>
              <w:rPr>
                <w:color w:val="000000"/>
              </w:rPr>
              <w:t>Colombia</w:t>
            </w:r>
          </w:p>
        </w:tc>
        <w:tc>
          <w:tcPr>
            <w:tcW w:w="1835" w:type="dxa"/>
            <w:tcBorders/>
            <w:vAlign w:val="center"/>
          </w:tcPr>
          <w:p>
            <w:pPr>
              <w:pStyle w:val="TableContents"/>
              <w:bidi w:val="0"/>
              <w:spacing w:before="0" w:after="0"/>
              <w:jc w:val="left"/>
              <w:rPr>
                <w:color w:val="000000"/>
              </w:rPr>
            </w:pPr>
            <w:r>
              <w:rPr>
                <w:color w:val="000000"/>
              </w:rPr>
              <w:t>Netherlands</w:t>
            </w:r>
          </w:p>
        </w:tc>
        <w:tc>
          <w:tcPr>
            <w:tcW w:w="2585" w:type="dxa"/>
            <w:tcBorders/>
            <w:vAlign w:val="center"/>
          </w:tcPr>
          <w:p>
            <w:pPr>
              <w:pStyle w:val="TableContents"/>
              <w:bidi w:val="0"/>
              <w:spacing w:before="0" w:after="0"/>
              <w:jc w:val="left"/>
              <w:rPr>
                <w:color w:val="000000"/>
              </w:rPr>
            </w:pPr>
            <w:r>
              <w:rPr>
                <w:color w:val="000000"/>
              </w:rPr>
              <w:t>Turkey</w:t>
            </w:r>
          </w:p>
        </w:tc>
      </w:tr>
      <w:tr>
        <w:trPr/>
        <w:tc>
          <w:tcPr>
            <w:tcW w:w="3395" w:type="dxa"/>
            <w:tcBorders/>
            <w:vAlign w:val="center"/>
          </w:tcPr>
          <w:p>
            <w:pPr>
              <w:pStyle w:val="TableContents"/>
              <w:bidi w:val="0"/>
              <w:spacing w:before="0" w:after="0"/>
              <w:jc w:val="left"/>
              <w:rPr>
                <w:color w:val="000000"/>
              </w:rPr>
            </w:pPr>
            <w:r>
              <w:rPr>
                <w:color w:val="000000"/>
              </w:rPr>
              <w:t>Congo, Democratic Republic of the</w:t>
            </w:r>
          </w:p>
        </w:tc>
        <w:tc>
          <w:tcPr>
            <w:tcW w:w="1835" w:type="dxa"/>
            <w:tcBorders/>
            <w:vAlign w:val="center"/>
          </w:tcPr>
          <w:p>
            <w:pPr>
              <w:pStyle w:val="TableContents"/>
              <w:bidi w:val="0"/>
              <w:spacing w:before="0" w:after="0"/>
              <w:jc w:val="left"/>
              <w:rPr>
                <w:color w:val="000000"/>
              </w:rPr>
            </w:pPr>
            <w:r>
              <w:rPr>
                <w:color w:val="000000"/>
              </w:rPr>
              <w:t>Peru</w:t>
            </w:r>
          </w:p>
        </w:tc>
        <w:tc>
          <w:tcPr>
            <w:tcW w:w="2585" w:type="dxa"/>
            <w:tcBorders/>
            <w:vAlign w:val="center"/>
          </w:tcPr>
          <w:p>
            <w:pPr>
              <w:pStyle w:val="TableContents"/>
              <w:bidi w:val="0"/>
              <w:spacing w:before="0" w:after="0"/>
              <w:jc w:val="left"/>
              <w:rPr>
                <w:color w:val="000000"/>
              </w:rPr>
            </w:pPr>
            <w:r>
              <w:rPr>
                <w:color w:val="000000"/>
              </w:rPr>
              <w:t>Uganda</w:t>
            </w:r>
          </w:p>
        </w:tc>
      </w:tr>
      <w:tr>
        <w:trPr/>
        <w:tc>
          <w:tcPr>
            <w:tcW w:w="3395" w:type="dxa"/>
            <w:tcBorders/>
            <w:vAlign w:val="center"/>
          </w:tcPr>
          <w:p>
            <w:pPr>
              <w:pStyle w:val="TableContents"/>
              <w:bidi w:val="0"/>
              <w:spacing w:before="0" w:after="0"/>
              <w:jc w:val="left"/>
              <w:rPr>
                <w:color w:val="000000"/>
              </w:rPr>
            </w:pPr>
            <w:r>
              <w:rPr>
                <w:color w:val="000000"/>
              </w:rPr>
              <w:t>Czechia</w:t>
            </w:r>
          </w:p>
        </w:tc>
        <w:tc>
          <w:tcPr>
            <w:tcW w:w="1835" w:type="dxa"/>
            <w:tcBorders/>
            <w:vAlign w:val="center"/>
          </w:tcPr>
          <w:p>
            <w:pPr>
              <w:pStyle w:val="TableContents"/>
              <w:bidi w:val="0"/>
              <w:spacing w:before="0" w:after="0"/>
              <w:jc w:val="left"/>
              <w:rPr>
                <w:color w:val="000000"/>
              </w:rPr>
            </w:pPr>
            <w:r>
              <w:rPr>
                <w:color w:val="000000"/>
              </w:rPr>
              <w:t>Philippines</w:t>
            </w:r>
          </w:p>
        </w:tc>
        <w:tc>
          <w:tcPr>
            <w:tcW w:w="2585" w:type="dxa"/>
            <w:tcBorders/>
            <w:vAlign w:val="center"/>
          </w:tcPr>
          <w:p>
            <w:pPr>
              <w:pStyle w:val="TableContents"/>
              <w:bidi w:val="0"/>
              <w:spacing w:before="0" w:after="0"/>
              <w:jc w:val="left"/>
              <w:rPr>
                <w:color w:val="000000"/>
              </w:rPr>
            </w:pPr>
            <w:r>
              <w:rPr>
                <w:color w:val="000000"/>
              </w:rPr>
              <w:t>United States of America</w:t>
            </w:r>
          </w:p>
        </w:tc>
      </w:tr>
      <w:tr>
        <w:trPr/>
        <w:tc>
          <w:tcPr>
            <w:tcW w:w="3395" w:type="dxa"/>
            <w:tcBorders/>
            <w:vAlign w:val="center"/>
          </w:tcPr>
          <w:p>
            <w:pPr>
              <w:pStyle w:val="TableContents"/>
              <w:bidi w:val="0"/>
              <w:spacing w:before="0" w:after="0"/>
              <w:jc w:val="left"/>
              <w:rPr>
                <w:color w:val="000000"/>
              </w:rPr>
            </w:pPr>
            <w:r>
              <w:rPr>
                <w:color w:val="000000"/>
              </w:rPr>
              <w:t>Estonia</w:t>
            </w:r>
          </w:p>
        </w:tc>
        <w:tc>
          <w:tcPr>
            <w:tcW w:w="1835" w:type="dxa"/>
            <w:tcBorders/>
            <w:vAlign w:val="center"/>
          </w:tcPr>
          <w:p>
            <w:pPr>
              <w:pStyle w:val="TableContents"/>
              <w:bidi w:val="0"/>
              <w:spacing w:before="0" w:after="0"/>
              <w:jc w:val="left"/>
              <w:rPr>
                <w:color w:val="000000"/>
              </w:rPr>
            </w:pPr>
            <w:r>
              <w:rPr>
                <w:color w:val="000000"/>
              </w:rPr>
              <w:t>Poland</w:t>
            </w:r>
          </w:p>
        </w:tc>
        <w:tc>
          <w:tcPr>
            <w:tcW w:w="2585" w:type="dxa"/>
            <w:tcBorders/>
            <w:vAlign w:val="center"/>
          </w:tcPr>
          <w:p>
            <w:pPr>
              <w:pStyle w:val="TableContents"/>
              <w:bidi w:val="0"/>
              <w:spacing w:before="0" w:after="0"/>
              <w:jc w:val="left"/>
              <w:rPr>
                <w:color w:val="000000"/>
              </w:rPr>
            </w:pPr>
            <w:r>
              <w:rPr>
                <w:color w:val="000000"/>
              </w:rPr>
              <w:t>Uzbekistan</w:t>
            </w:r>
          </w:p>
        </w:tc>
      </w:tr>
      <w:tr>
        <w:trPr/>
        <w:tc>
          <w:tcPr>
            <w:tcW w:w="3395" w:type="dxa"/>
            <w:tcBorders/>
            <w:vAlign w:val="center"/>
          </w:tcPr>
          <w:p>
            <w:pPr>
              <w:pStyle w:val="TableContents"/>
              <w:bidi w:val="0"/>
              <w:spacing w:before="0" w:after="0"/>
              <w:jc w:val="left"/>
              <w:rPr>
                <w:color w:val="000000"/>
              </w:rPr>
            </w:pPr>
            <w:r>
              <w:rPr>
                <w:color w:val="000000"/>
              </w:rPr>
              <w:t>Germany</w:t>
            </w:r>
          </w:p>
        </w:tc>
        <w:tc>
          <w:tcPr>
            <w:tcW w:w="1835" w:type="dxa"/>
            <w:tcBorders/>
            <w:vAlign w:val="center"/>
          </w:tcPr>
          <w:p>
            <w:pPr>
              <w:pStyle w:val="TableContents"/>
              <w:bidi w:val="0"/>
              <w:spacing w:before="0" w:after="0"/>
              <w:jc w:val="left"/>
              <w:rPr>
                <w:color w:val="000000"/>
              </w:rPr>
            </w:pPr>
            <w:r>
              <w:rPr>
                <w:color w:val="000000"/>
              </w:rPr>
              <w:t>Rwanda</w:t>
            </w:r>
          </w:p>
        </w:tc>
        <w:tc>
          <w:tcPr>
            <w:tcW w:w="2585" w:type="dxa"/>
            <w:tcBorders/>
            <w:vAlign w:val="center"/>
          </w:tcPr>
          <w:p>
            <w:pPr>
              <w:pStyle w:val="TableContents"/>
              <w:bidi w:val="0"/>
              <w:spacing w:before="0" w:after="0"/>
              <w:jc w:val="left"/>
              <w:rPr>
                <w:color w:val="000000"/>
              </w:rPr>
            </w:pPr>
            <w:r>
              <w:rPr>
                <w:color w:val="000000"/>
              </w:rPr>
              <w:t>Vietnam</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APPENDIX B</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CONFLICT MINERALS SOURCING INFORMATION (as of December 31, 2025)</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Note that the reported standard smelter and refiner facility names and smelter locations were taken from the RMI RCOI report and facility database.</w:t>
      </w:r>
    </w:p>
    <w:p>
      <w:pPr>
        <w:pStyle w:val="TextBody"/>
        <w:bidi w:val="0"/>
        <w:spacing w:before="0" w:after="0"/>
        <w:jc w:val="left"/>
        <w:rPr>
          <w:color w:val="000000"/>
        </w:rPr>
      </w:pPr>
      <w:r>
        <w:rPr>
          <w:color w:val="000000"/>
        </w:rPr>
        <w:t> </w:t>
      </w:r>
    </w:p>
    <w:tbl>
      <w:tblPr>
        <w:tblW w:w="9420" w:type="dxa"/>
        <w:jc w:val="left"/>
        <w:tblInd w:w="0" w:type="dxa"/>
        <w:tblLayout w:type="fixed"/>
        <w:tblCellMar>
          <w:top w:w="0" w:type="dxa"/>
          <w:left w:w="0" w:type="dxa"/>
          <w:bottom w:w="0" w:type="dxa"/>
          <w:right w:w="0" w:type="dxa"/>
        </w:tblCellMar>
      </w:tblPr>
      <w:tblGrid>
        <w:gridCol w:w="500"/>
        <w:gridCol w:w="6335"/>
        <w:gridCol w:w="2585"/>
      </w:tblGrid>
      <w:tr>
        <w:trPr/>
        <w:tc>
          <w:tcPr>
            <w:tcW w:w="500" w:type="dxa"/>
            <w:tcBorders/>
            <w:vAlign w:val="center"/>
          </w:tcPr>
          <w:p>
            <w:pPr>
              <w:pStyle w:val="TableContents"/>
              <w:bidi w:val="0"/>
              <w:spacing w:before="0" w:after="0"/>
              <w:jc w:val="left"/>
              <w:rPr>
                <w:color w:val="000000"/>
              </w:rPr>
            </w:pPr>
            <w:bookmarkStart w:id="27" w:name="z_Hlk195714642"/>
            <w:bookmarkEnd w:id="27"/>
            <w:r>
              <w:rPr>
                <w:color w:val="000000"/>
              </w:rPr>
              <w:t>Gold</w:t>
            </w:r>
          </w:p>
        </w:tc>
        <w:tc>
          <w:tcPr>
            <w:tcW w:w="6335" w:type="dxa"/>
            <w:tcBorders/>
            <w:vAlign w:val="center"/>
          </w:tcPr>
          <w:p>
            <w:pPr>
              <w:pStyle w:val="TableContents"/>
              <w:bidi w:val="0"/>
              <w:spacing w:before="0" w:after="0"/>
              <w:jc w:val="left"/>
              <w:rPr>
                <w:color w:val="000000"/>
              </w:rPr>
            </w:pPr>
            <w:r>
              <w:rPr>
                <w:color w:val="000000"/>
              </w:rPr>
              <w:t>Abington Reldan Metals, LLC</w:t>
            </w:r>
          </w:p>
        </w:tc>
        <w:tc>
          <w:tcPr>
            <w:tcW w:w="2585" w:type="dxa"/>
            <w:tcBorders/>
            <w:vAlign w:val="center"/>
          </w:tcPr>
          <w:p>
            <w:pPr>
              <w:pStyle w:val="TableContents"/>
              <w:bidi w:val="0"/>
              <w:spacing w:before="0" w:after="0"/>
              <w:jc w:val="left"/>
              <w:rPr>
                <w:color w:val="000000"/>
              </w:rPr>
            </w:pPr>
            <w:r>
              <w:rPr>
                <w:color w:val="000000"/>
              </w:rPr>
              <w:t>United States of America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Advanced Chemical Company</w:t>
            </w:r>
          </w:p>
        </w:tc>
        <w:tc>
          <w:tcPr>
            <w:tcW w:w="2585" w:type="dxa"/>
            <w:tcBorders/>
            <w:vAlign w:val="center"/>
          </w:tcPr>
          <w:p>
            <w:pPr>
              <w:pStyle w:val="TableContents"/>
              <w:bidi w:val="0"/>
              <w:spacing w:before="0" w:after="0"/>
              <w:jc w:val="left"/>
              <w:rPr>
                <w:color w:val="000000"/>
              </w:rPr>
            </w:pPr>
            <w:r>
              <w:rPr>
                <w:color w:val="000000"/>
              </w:rPr>
              <w:t>United States of America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Agosi AG</w:t>
            </w:r>
          </w:p>
        </w:tc>
        <w:tc>
          <w:tcPr>
            <w:tcW w:w="2585" w:type="dxa"/>
            <w:tcBorders/>
            <w:vAlign w:val="center"/>
          </w:tcPr>
          <w:p>
            <w:pPr>
              <w:pStyle w:val="TableContents"/>
              <w:bidi w:val="0"/>
              <w:spacing w:before="0" w:after="0"/>
              <w:jc w:val="left"/>
              <w:rPr>
                <w:color w:val="000000"/>
              </w:rPr>
            </w:pPr>
            <w:r>
              <w:rPr>
                <w:color w:val="000000"/>
              </w:rPr>
              <w:t>Germany</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Aida Chemical Industries Co., Ltd.</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Almalyk Mining and Metallurgical Complex (AMMC)</w:t>
            </w:r>
          </w:p>
        </w:tc>
        <w:tc>
          <w:tcPr>
            <w:tcW w:w="2585" w:type="dxa"/>
            <w:tcBorders/>
            <w:vAlign w:val="center"/>
          </w:tcPr>
          <w:p>
            <w:pPr>
              <w:pStyle w:val="TableContents"/>
              <w:bidi w:val="0"/>
              <w:spacing w:before="0" w:after="0"/>
              <w:jc w:val="left"/>
              <w:rPr>
                <w:color w:val="000000"/>
              </w:rPr>
            </w:pPr>
            <w:r>
              <w:rPr>
                <w:color w:val="000000"/>
              </w:rPr>
              <w:t>Uzbekistan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AngloGold Ashanti Corrego do Sitio Mineracao</w:t>
            </w:r>
          </w:p>
        </w:tc>
        <w:tc>
          <w:tcPr>
            <w:tcW w:w="2585" w:type="dxa"/>
            <w:tcBorders/>
            <w:vAlign w:val="center"/>
          </w:tcPr>
          <w:p>
            <w:pPr>
              <w:pStyle w:val="TableContents"/>
              <w:bidi w:val="0"/>
              <w:spacing w:before="0" w:after="0"/>
              <w:jc w:val="left"/>
              <w:rPr>
                <w:color w:val="000000"/>
              </w:rPr>
            </w:pPr>
            <w:r>
              <w:rPr>
                <w:color w:val="000000"/>
              </w:rPr>
              <w:t>Brazil</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Argor-Heraeus S.A.</w:t>
            </w:r>
          </w:p>
        </w:tc>
        <w:tc>
          <w:tcPr>
            <w:tcW w:w="2585" w:type="dxa"/>
            <w:tcBorders/>
            <w:vAlign w:val="center"/>
          </w:tcPr>
          <w:p>
            <w:pPr>
              <w:pStyle w:val="TableContents"/>
              <w:bidi w:val="0"/>
              <w:spacing w:before="0" w:after="0"/>
              <w:jc w:val="left"/>
              <w:rPr>
                <w:color w:val="000000"/>
              </w:rPr>
            </w:pPr>
            <w:r>
              <w:rPr>
                <w:color w:val="000000"/>
              </w:rPr>
              <w:t>Switzerland</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ASAHI METALFINE, Inc.</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Asahi Refining Canada Ltd.</w:t>
            </w:r>
          </w:p>
        </w:tc>
        <w:tc>
          <w:tcPr>
            <w:tcW w:w="2585" w:type="dxa"/>
            <w:tcBorders/>
            <w:vAlign w:val="center"/>
          </w:tcPr>
          <w:p>
            <w:pPr>
              <w:pStyle w:val="TableContents"/>
              <w:bidi w:val="0"/>
              <w:spacing w:before="0" w:after="0"/>
              <w:jc w:val="left"/>
              <w:rPr>
                <w:color w:val="000000"/>
              </w:rPr>
            </w:pPr>
            <w:r>
              <w:rPr>
                <w:color w:val="000000"/>
              </w:rPr>
              <w:t>Canada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Asahi Refining USA Inc.</w:t>
            </w:r>
          </w:p>
        </w:tc>
        <w:tc>
          <w:tcPr>
            <w:tcW w:w="2585" w:type="dxa"/>
            <w:tcBorders/>
            <w:vAlign w:val="center"/>
          </w:tcPr>
          <w:p>
            <w:pPr>
              <w:pStyle w:val="TableContents"/>
              <w:bidi w:val="0"/>
              <w:spacing w:before="0" w:after="0"/>
              <w:jc w:val="left"/>
              <w:rPr>
                <w:color w:val="000000"/>
              </w:rPr>
            </w:pPr>
            <w:r>
              <w:rPr>
                <w:color w:val="000000"/>
              </w:rPr>
              <w:t>United States of America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Asaka Riken Co., Ltd.</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Aurubis AG, Hamburg</w:t>
            </w:r>
          </w:p>
        </w:tc>
        <w:tc>
          <w:tcPr>
            <w:tcW w:w="2585" w:type="dxa"/>
            <w:tcBorders/>
            <w:vAlign w:val="center"/>
          </w:tcPr>
          <w:p>
            <w:pPr>
              <w:pStyle w:val="TableContents"/>
              <w:bidi w:val="0"/>
              <w:spacing w:before="0" w:after="0"/>
              <w:jc w:val="left"/>
              <w:rPr>
                <w:color w:val="000000"/>
              </w:rPr>
            </w:pPr>
            <w:r>
              <w:rPr>
                <w:color w:val="000000"/>
              </w:rPr>
              <w:t>Germany</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Bangalore Refinery</w:t>
            </w:r>
          </w:p>
        </w:tc>
        <w:tc>
          <w:tcPr>
            <w:tcW w:w="2585" w:type="dxa"/>
            <w:tcBorders/>
            <w:vAlign w:val="center"/>
          </w:tcPr>
          <w:p>
            <w:pPr>
              <w:pStyle w:val="TableContents"/>
              <w:bidi w:val="0"/>
              <w:spacing w:before="0" w:after="0"/>
              <w:jc w:val="left"/>
              <w:rPr>
                <w:color w:val="000000"/>
              </w:rPr>
            </w:pPr>
            <w:r>
              <w:rPr>
                <w:color w:val="000000"/>
              </w:rPr>
              <w:t>India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Bangko Sentral ng Pilipinas (Central Bank of the Philippines)</w:t>
            </w:r>
          </w:p>
        </w:tc>
        <w:tc>
          <w:tcPr>
            <w:tcW w:w="2585" w:type="dxa"/>
            <w:tcBorders/>
            <w:vAlign w:val="center"/>
          </w:tcPr>
          <w:p>
            <w:pPr>
              <w:pStyle w:val="TableContents"/>
              <w:bidi w:val="0"/>
              <w:spacing w:before="0" w:after="0"/>
              <w:jc w:val="left"/>
              <w:rPr>
                <w:color w:val="000000"/>
              </w:rPr>
            </w:pPr>
            <w:r>
              <w:rPr>
                <w:color w:val="000000"/>
              </w:rPr>
              <w:t>Philippines</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Boliden Mineral AB (Ronnskar)</w:t>
            </w:r>
          </w:p>
        </w:tc>
        <w:tc>
          <w:tcPr>
            <w:tcW w:w="2585" w:type="dxa"/>
            <w:tcBorders/>
            <w:vAlign w:val="center"/>
          </w:tcPr>
          <w:p>
            <w:pPr>
              <w:pStyle w:val="TableContents"/>
              <w:bidi w:val="0"/>
              <w:spacing w:before="0" w:after="0"/>
              <w:jc w:val="left"/>
              <w:rPr>
                <w:color w:val="000000"/>
              </w:rPr>
            </w:pPr>
            <w:r>
              <w:rPr>
                <w:color w:val="000000"/>
              </w:rPr>
              <w:t>Sweden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C. Hafner GmbH + Co. KG</w:t>
            </w:r>
          </w:p>
        </w:tc>
        <w:tc>
          <w:tcPr>
            <w:tcW w:w="2585" w:type="dxa"/>
            <w:tcBorders/>
            <w:vAlign w:val="center"/>
          </w:tcPr>
          <w:p>
            <w:pPr>
              <w:pStyle w:val="TableContents"/>
              <w:bidi w:val="0"/>
              <w:spacing w:before="0" w:after="0"/>
              <w:jc w:val="left"/>
              <w:rPr>
                <w:color w:val="000000"/>
              </w:rPr>
            </w:pPr>
            <w:r>
              <w:rPr>
                <w:color w:val="000000"/>
              </w:rPr>
              <w:t>Germany</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CCR Refinery - Glencore Canada Corporation</w:t>
            </w:r>
          </w:p>
        </w:tc>
        <w:tc>
          <w:tcPr>
            <w:tcW w:w="2585" w:type="dxa"/>
            <w:tcBorders/>
            <w:vAlign w:val="center"/>
          </w:tcPr>
          <w:p>
            <w:pPr>
              <w:pStyle w:val="TableContents"/>
              <w:bidi w:val="0"/>
              <w:spacing w:before="0" w:after="0"/>
              <w:jc w:val="left"/>
              <w:rPr>
                <w:color w:val="000000"/>
              </w:rPr>
            </w:pPr>
            <w:r>
              <w:rPr>
                <w:color w:val="000000"/>
              </w:rPr>
              <w:t>Canada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Chimet S.p.A.</w:t>
            </w:r>
          </w:p>
        </w:tc>
        <w:tc>
          <w:tcPr>
            <w:tcW w:w="2585" w:type="dxa"/>
            <w:tcBorders/>
            <w:vAlign w:val="center"/>
          </w:tcPr>
          <w:p>
            <w:pPr>
              <w:pStyle w:val="TableContents"/>
              <w:bidi w:val="0"/>
              <w:spacing w:before="0" w:after="0"/>
              <w:jc w:val="left"/>
              <w:rPr>
                <w:color w:val="000000"/>
              </w:rPr>
            </w:pPr>
            <w:r>
              <w:rPr>
                <w:color w:val="000000"/>
              </w:rPr>
              <w:t>Italy</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Chugai Mining</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Coimpa Industrial LTDA</w:t>
            </w:r>
          </w:p>
        </w:tc>
        <w:tc>
          <w:tcPr>
            <w:tcW w:w="2585" w:type="dxa"/>
            <w:tcBorders/>
            <w:vAlign w:val="center"/>
          </w:tcPr>
          <w:p>
            <w:pPr>
              <w:pStyle w:val="TableContents"/>
              <w:bidi w:val="0"/>
              <w:spacing w:before="0" w:after="0"/>
              <w:jc w:val="left"/>
              <w:rPr>
                <w:color w:val="000000"/>
              </w:rPr>
            </w:pPr>
            <w:r>
              <w:rPr>
                <w:color w:val="000000"/>
              </w:rPr>
              <w:t>Brazil</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Dowa</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DSC (Do Sung Corporation)</w:t>
            </w:r>
          </w:p>
        </w:tc>
        <w:tc>
          <w:tcPr>
            <w:tcW w:w="2585" w:type="dxa"/>
            <w:tcBorders/>
            <w:vAlign w:val="center"/>
          </w:tcPr>
          <w:p>
            <w:pPr>
              <w:pStyle w:val="TableContents"/>
              <w:bidi w:val="0"/>
              <w:spacing w:before="0" w:after="0"/>
              <w:jc w:val="left"/>
              <w:rPr>
                <w:color w:val="000000"/>
              </w:rPr>
            </w:pPr>
            <w:r>
              <w:rPr>
                <w:color w:val="000000"/>
              </w:rPr>
              <w:t>Korea, Republic of</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Eco-System Recycling Co., Ltd. East Plant</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Eco-System Recycling Co., Ltd. North Plant</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Eco-System Recycling Co., Ltd. West Plant</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Elite Industech Co., Ltd.</w:t>
            </w:r>
          </w:p>
        </w:tc>
        <w:tc>
          <w:tcPr>
            <w:tcW w:w="2585" w:type="dxa"/>
            <w:tcBorders/>
            <w:vAlign w:val="center"/>
          </w:tcPr>
          <w:p>
            <w:pPr>
              <w:pStyle w:val="TableContents"/>
              <w:bidi w:val="0"/>
              <w:spacing w:before="0" w:after="0"/>
              <w:jc w:val="left"/>
              <w:rPr>
                <w:color w:val="000000"/>
              </w:rPr>
            </w:pPr>
            <w:r>
              <w:rPr>
                <w:color w:val="000000"/>
              </w:rPr>
              <w:t>Taiwan, Province of China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GG Refinery Ltd.</w:t>
            </w:r>
          </w:p>
        </w:tc>
        <w:tc>
          <w:tcPr>
            <w:tcW w:w="2585" w:type="dxa"/>
            <w:tcBorders/>
            <w:vAlign w:val="center"/>
          </w:tcPr>
          <w:p>
            <w:pPr>
              <w:pStyle w:val="TableContents"/>
              <w:bidi w:val="0"/>
              <w:spacing w:before="0" w:after="0"/>
              <w:jc w:val="left"/>
              <w:rPr>
                <w:color w:val="000000"/>
              </w:rPr>
            </w:pPr>
            <w:r>
              <w:rPr>
                <w:color w:val="000000"/>
              </w:rPr>
              <w:t>Tanzania, Republic of</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Gold by Gold Colombia</w:t>
            </w:r>
          </w:p>
        </w:tc>
        <w:tc>
          <w:tcPr>
            <w:tcW w:w="2585" w:type="dxa"/>
            <w:tcBorders/>
            <w:vAlign w:val="center"/>
          </w:tcPr>
          <w:p>
            <w:pPr>
              <w:pStyle w:val="TableContents"/>
              <w:bidi w:val="0"/>
              <w:spacing w:before="0" w:after="0"/>
              <w:jc w:val="left"/>
              <w:rPr>
                <w:color w:val="000000"/>
              </w:rPr>
            </w:pPr>
            <w:r>
              <w:rPr>
                <w:color w:val="000000"/>
              </w:rPr>
              <w:t>Colombia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Gold Corporation - The Perth Mint</w:t>
            </w:r>
          </w:p>
        </w:tc>
        <w:tc>
          <w:tcPr>
            <w:tcW w:w="2585" w:type="dxa"/>
            <w:tcBorders/>
            <w:vAlign w:val="center"/>
          </w:tcPr>
          <w:p>
            <w:pPr>
              <w:pStyle w:val="TableContents"/>
              <w:bidi w:val="0"/>
              <w:spacing w:before="0" w:after="0"/>
              <w:jc w:val="left"/>
              <w:rPr>
                <w:color w:val="000000"/>
              </w:rPr>
            </w:pPr>
            <w:r>
              <w:rPr>
                <w:color w:val="000000"/>
              </w:rPr>
              <w:t>Australia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Heimerle + Meule GmbH</w:t>
            </w:r>
          </w:p>
        </w:tc>
        <w:tc>
          <w:tcPr>
            <w:tcW w:w="2585" w:type="dxa"/>
            <w:tcBorders/>
            <w:vAlign w:val="center"/>
          </w:tcPr>
          <w:p>
            <w:pPr>
              <w:pStyle w:val="TableContents"/>
              <w:bidi w:val="0"/>
              <w:spacing w:before="0" w:after="0"/>
              <w:jc w:val="left"/>
              <w:rPr>
                <w:color w:val="000000"/>
              </w:rPr>
            </w:pPr>
            <w:r>
              <w:rPr>
                <w:color w:val="000000"/>
              </w:rPr>
              <w:t>Germany</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Heraeus Germany GmbH Co. KG</w:t>
            </w:r>
          </w:p>
        </w:tc>
        <w:tc>
          <w:tcPr>
            <w:tcW w:w="2585" w:type="dxa"/>
            <w:tcBorders/>
            <w:vAlign w:val="center"/>
          </w:tcPr>
          <w:p>
            <w:pPr>
              <w:pStyle w:val="TableContents"/>
              <w:bidi w:val="0"/>
              <w:spacing w:before="0" w:after="0"/>
              <w:jc w:val="left"/>
              <w:rPr>
                <w:color w:val="000000"/>
              </w:rPr>
            </w:pPr>
            <w:r>
              <w:rPr>
                <w:color w:val="000000"/>
              </w:rPr>
              <w:t>Germany</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Heraeus Metals Hong Kong Ltd.</w:t>
            </w:r>
          </w:p>
        </w:tc>
        <w:tc>
          <w:tcPr>
            <w:tcW w:w="2585" w:type="dxa"/>
            <w:tcBorders/>
            <w:vAlign w:val="center"/>
          </w:tcPr>
          <w:p>
            <w:pPr>
              <w:pStyle w:val="TableContents"/>
              <w:bidi w:val="0"/>
              <w:spacing w:before="0" w:after="0"/>
              <w:jc w:val="left"/>
              <w:rPr>
                <w:color w:val="000000"/>
              </w:rPr>
            </w:pPr>
            <w:r>
              <w:rPr>
                <w:color w:val="000000"/>
              </w:rPr>
              <w:t>China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Inner Mongolia Qiankun Gold and Silver Refinery Share Co., Ltd.</w:t>
            </w:r>
          </w:p>
        </w:tc>
        <w:tc>
          <w:tcPr>
            <w:tcW w:w="2585" w:type="dxa"/>
            <w:tcBorders/>
            <w:vAlign w:val="center"/>
          </w:tcPr>
          <w:p>
            <w:pPr>
              <w:pStyle w:val="TableContents"/>
              <w:bidi w:val="0"/>
              <w:spacing w:before="0" w:after="0"/>
              <w:jc w:val="left"/>
              <w:rPr>
                <w:color w:val="000000"/>
              </w:rPr>
            </w:pPr>
            <w:r>
              <w:rPr>
                <w:color w:val="000000"/>
              </w:rPr>
              <w:t>China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Ishifuku Metal Industry Co., Ltd.</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Istanbul Gold Refinery</w:t>
            </w:r>
          </w:p>
        </w:tc>
        <w:tc>
          <w:tcPr>
            <w:tcW w:w="2585" w:type="dxa"/>
            <w:tcBorders/>
            <w:vAlign w:val="center"/>
          </w:tcPr>
          <w:p>
            <w:pPr>
              <w:pStyle w:val="TableContents"/>
              <w:bidi w:val="0"/>
              <w:spacing w:before="0" w:after="0"/>
              <w:jc w:val="left"/>
              <w:rPr>
                <w:color w:val="000000"/>
              </w:rPr>
            </w:pPr>
            <w:r>
              <w:rPr>
                <w:color w:val="000000"/>
              </w:rPr>
              <w:t>Turkey</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Italpreziosi</w:t>
            </w:r>
          </w:p>
        </w:tc>
        <w:tc>
          <w:tcPr>
            <w:tcW w:w="2585" w:type="dxa"/>
            <w:tcBorders/>
            <w:vAlign w:val="center"/>
          </w:tcPr>
          <w:p>
            <w:pPr>
              <w:pStyle w:val="TableContents"/>
              <w:bidi w:val="0"/>
              <w:spacing w:before="0" w:after="0"/>
              <w:jc w:val="left"/>
              <w:rPr>
                <w:color w:val="000000"/>
              </w:rPr>
            </w:pPr>
            <w:r>
              <w:rPr>
                <w:color w:val="000000"/>
              </w:rPr>
              <w:t>Italy</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Japan Mint</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Jiangxi Copper Co., Ltd.</w:t>
            </w:r>
          </w:p>
        </w:tc>
        <w:tc>
          <w:tcPr>
            <w:tcW w:w="2585" w:type="dxa"/>
            <w:tcBorders/>
            <w:vAlign w:val="center"/>
          </w:tcPr>
          <w:p>
            <w:pPr>
              <w:pStyle w:val="TableContents"/>
              <w:bidi w:val="0"/>
              <w:spacing w:before="0" w:after="0"/>
              <w:jc w:val="left"/>
              <w:rPr>
                <w:color w:val="000000"/>
              </w:rPr>
            </w:pPr>
            <w:r>
              <w:rPr>
                <w:color w:val="000000"/>
              </w:rPr>
              <w:t>China</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JX Advanced Metals Corporation</w:t>
            </w:r>
          </w:p>
        </w:tc>
        <w:tc>
          <w:tcPr>
            <w:tcW w:w="2585" w:type="dxa"/>
            <w:tcBorders/>
            <w:vAlign w:val="center"/>
          </w:tcPr>
          <w:p>
            <w:pPr>
              <w:pStyle w:val="TableContents"/>
              <w:bidi w:val="0"/>
              <w:spacing w:before="0" w:after="0"/>
              <w:jc w:val="left"/>
              <w:rPr>
                <w:color w:val="000000"/>
              </w:rPr>
            </w:pPr>
            <w:r>
              <w:rPr>
                <w:color w:val="000000"/>
              </w:rPr>
              <w:t>Japan</w:t>
            </w:r>
          </w:p>
        </w:tc>
      </w:tr>
      <w:tr>
        <w:trPr/>
        <w:tc>
          <w:tcPr>
            <w:tcW w:w="500" w:type="dxa"/>
            <w:tcBorders/>
            <w:vAlign w:val="center"/>
          </w:tcPr>
          <w:p>
            <w:pPr>
              <w:pStyle w:val="TableContents"/>
              <w:bidi w:val="0"/>
              <w:spacing w:before="0" w:after="0"/>
              <w:jc w:val="left"/>
              <w:rPr>
                <w:color w:val="000000"/>
              </w:rPr>
            </w:pPr>
            <w:r>
              <w:rPr>
                <w:color w:val="000000"/>
              </w:rPr>
              <w:t>Gold</w:t>
            </w:r>
          </w:p>
        </w:tc>
        <w:tc>
          <w:tcPr>
            <w:tcW w:w="6335" w:type="dxa"/>
            <w:tcBorders/>
            <w:vAlign w:val="center"/>
          </w:tcPr>
          <w:p>
            <w:pPr>
              <w:pStyle w:val="TableContents"/>
              <w:bidi w:val="0"/>
              <w:spacing w:before="0" w:after="0"/>
              <w:jc w:val="left"/>
              <w:rPr>
                <w:color w:val="000000"/>
              </w:rPr>
            </w:pPr>
            <w:r>
              <w:rPr>
                <w:color w:val="000000"/>
              </w:rPr>
              <w:t>Kazzinc</w:t>
            </w:r>
          </w:p>
        </w:tc>
        <w:tc>
          <w:tcPr>
            <w:tcW w:w="2585" w:type="dxa"/>
            <w:tcBorders/>
            <w:vAlign w:val="center"/>
          </w:tcPr>
          <w:p>
            <w:pPr>
              <w:pStyle w:val="TableContents"/>
              <w:bidi w:val="0"/>
              <w:spacing w:before="0" w:after="0"/>
              <w:jc w:val="left"/>
              <w:rPr>
                <w:color w:val="000000"/>
              </w:rPr>
            </w:pPr>
            <w:r>
              <w:rPr>
                <w:color w:val="000000"/>
              </w:rPr>
              <w:t>Kazakhstan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B-1</w:t>
      </w:r>
    </w:p>
    <w:p>
      <w:pPr>
        <w:pStyle w:val="HorizontalLine"/>
        <w:pBdr>
          <w:bottom w:val="single" w:sz="12" w:space="0" w:color="808080"/>
        </w:pBdr>
        <w:bidi w:val="0"/>
        <w:spacing w:before="200" w:after="200"/>
        <w:jc w:val="left"/>
        <w:rPr/>
      </w:pPr>
      <w:r>
        <w:rPr/>
      </w:r>
    </w:p>
    <w:tbl>
      <w:tblPr>
        <w:tblW w:w="8280" w:type="dxa"/>
        <w:jc w:val="left"/>
        <w:tblInd w:w="0" w:type="dxa"/>
        <w:tblLayout w:type="fixed"/>
        <w:tblCellMar>
          <w:top w:w="0" w:type="dxa"/>
          <w:left w:w="0" w:type="dxa"/>
          <w:bottom w:w="0" w:type="dxa"/>
          <w:right w:w="0" w:type="dxa"/>
        </w:tblCellMar>
      </w:tblPr>
      <w:tblGrid>
        <w:gridCol w:w="515"/>
        <w:gridCol w:w="5165"/>
        <w:gridCol w:w="2600"/>
      </w:tblGrid>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Kennecott Utah Copper LLC</w:t>
            </w:r>
          </w:p>
        </w:tc>
        <w:tc>
          <w:tcPr>
            <w:tcW w:w="2600" w:type="dxa"/>
            <w:tcBorders/>
            <w:vAlign w:val="center"/>
          </w:tcPr>
          <w:p>
            <w:pPr>
              <w:pStyle w:val="TableContents"/>
              <w:bidi w:val="0"/>
              <w:spacing w:before="0" w:after="0"/>
              <w:jc w:val="left"/>
              <w:rPr>
                <w:color w:val="000000"/>
              </w:rPr>
            </w:pPr>
            <w:r>
              <w:rPr>
                <w:color w:val="000000"/>
              </w:rPr>
              <w:t>United States of America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KGHM Polska Miedz Spolka Akcyjna</w:t>
            </w:r>
          </w:p>
        </w:tc>
        <w:tc>
          <w:tcPr>
            <w:tcW w:w="2600" w:type="dxa"/>
            <w:tcBorders/>
            <w:vAlign w:val="center"/>
          </w:tcPr>
          <w:p>
            <w:pPr>
              <w:pStyle w:val="TableContents"/>
              <w:bidi w:val="0"/>
              <w:spacing w:before="0" w:after="0"/>
              <w:jc w:val="left"/>
              <w:rPr>
                <w:color w:val="000000"/>
              </w:rPr>
            </w:pPr>
            <w:r>
              <w:rPr>
                <w:color w:val="000000"/>
              </w:rPr>
              <w:t>Poland</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Kojima Chemicals Co., Ltd.</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Korea Zinc Co., Ltd.</w:t>
            </w:r>
          </w:p>
        </w:tc>
        <w:tc>
          <w:tcPr>
            <w:tcW w:w="2600" w:type="dxa"/>
            <w:tcBorders/>
            <w:vAlign w:val="center"/>
          </w:tcPr>
          <w:p>
            <w:pPr>
              <w:pStyle w:val="TableContents"/>
              <w:bidi w:val="0"/>
              <w:spacing w:before="0" w:after="0"/>
              <w:jc w:val="left"/>
              <w:rPr>
                <w:color w:val="000000"/>
              </w:rPr>
            </w:pPr>
            <w:r>
              <w:rPr>
                <w:color w:val="000000"/>
              </w:rPr>
              <w:t>Korea, Republic of</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LS MnM Inc.</w:t>
            </w:r>
          </w:p>
        </w:tc>
        <w:tc>
          <w:tcPr>
            <w:tcW w:w="2600" w:type="dxa"/>
            <w:tcBorders/>
            <w:vAlign w:val="center"/>
          </w:tcPr>
          <w:p>
            <w:pPr>
              <w:pStyle w:val="TableContents"/>
              <w:bidi w:val="0"/>
              <w:spacing w:before="0" w:after="0"/>
              <w:jc w:val="left"/>
              <w:rPr>
                <w:color w:val="000000"/>
              </w:rPr>
            </w:pPr>
            <w:r>
              <w:rPr>
                <w:color w:val="000000"/>
              </w:rPr>
              <w:t>Korea, Republic of</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LT Metal Ltd.</w:t>
            </w:r>
          </w:p>
        </w:tc>
        <w:tc>
          <w:tcPr>
            <w:tcW w:w="2600" w:type="dxa"/>
            <w:tcBorders/>
            <w:vAlign w:val="center"/>
          </w:tcPr>
          <w:p>
            <w:pPr>
              <w:pStyle w:val="TableContents"/>
              <w:bidi w:val="0"/>
              <w:spacing w:before="0" w:after="0"/>
              <w:jc w:val="left"/>
              <w:rPr>
                <w:color w:val="000000"/>
              </w:rPr>
            </w:pPr>
            <w:r>
              <w:rPr>
                <w:color w:val="000000"/>
              </w:rPr>
              <w:t>Korea, Republic of</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Materion</w:t>
            </w:r>
          </w:p>
        </w:tc>
        <w:tc>
          <w:tcPr>
            <w:tcW w:w="2600" w:type="dxa"/>
            <w:tcBorders/>
            <w:vAlign w:val="center"/>
          </w:tcPr>
          <w:p>
            <w:pPr>
              <w:pStyle w:val="TableContents"/>
              <w:bidi w:val="0"/>
              <w:spacing w:before="0" w:after="0"/>
              <w:jc w:val="left"/>
              <w:rPr>
                <w:color w:val="000000"/>
              </w:rPr>
            </w:pPr>
            <w:r>
              <w:rPr>
                <w:color w:val="000000"/>
              </w:rPr>
              <w:t>United States of America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Matsuda Sangyo Co., Ltd.</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Metal Concentrators SA (Pty) Ltd.</w:t>
            </w:r>
          </w:p>
        </w:tc>
        <w:tc>
          <w:tcPr>
            <w:tcW w:w="2600" w:type="dxa"/>
            <w:tcBorders/>
            <w:vAlign w:val="center"/>
          </w:tcPr>
          <w:p>
            <w:pPr>
              <w:pStyle w:val="TableContents"/>
              <w:bidi w:val="0"/>
              <w:spacing w:before="0" w:after="0"/>
              <w:jc w:val="left"/>
              <w:rPr>
                <w:color w:val="000000"/>
              </w:rPr>
            </w:pPr>
            <w:r>
              <w:rPr>
                <w:color w:val="000000"/>
              </w:rPr>
              <w:t>South Africa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Metalor Technologies (Hong Kong)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Metalor Technologies (Singapore) Pte., Ltd.</w:t>
            </w:r>
          </w:p>
        </w:tc>
        <w:tc>
          <w:tcPr>
            <w:tcW w:w="2600" w:type="dxa"/>
            <w:tcBorders/>
            <w:vAlign w:val="center"/>
          </w:tcPr>
          <w:p>
            <w:pPr>
              <w:pStyle w:val="TableContents"/>
              <w:bidi w:val="0"/>
              <w:spacing w:before="0" w:after="0"/>
              <w:jc w:val="left"/>
              <w:rPr>
                <w:color w:val="000000"/>
              </w:rPr>
            </w:pPr>
            <w:r>
              <w:rPr>
                <w:color w:val="000000"/>
              </w:rPr>
              <w:t>Singapore</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Metalor Technologies (Suzhou)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Metalor Technologies S.A.</w:t>
            </w:r>
          </w:p>
        </w:tc>
        <w:tc>
          <w:tcPr>
            <w:tcW w:w="2600" w:type="dxa"/>
            <w:tcBorders/>
            <w:vAlign w:val="center"/>
          </w:tcPr>
          <w:p>
            <w:pPr>
              <w:pStyle w:val="TableContents"/>
              <w:bidi w:val="0"/>
              <w:spacing w:before="0" w:after="0"/>
              <w:jc w:val="left"/>
              <w:rPr>
                <w:color w:val="000000"/>
              </w:rPr>
            </w:pPr>
            <w:r>
              <w:rPr>
                <w:color w:val="000000"/>
              </w:rPr>
              <w:t>Switzerland</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Metalor USA Refining Corporation</w:t>
            </w:r>
          </w:p>
        </w:tc>
        <w:tc>
          <w:tcPr>
            <w:tcW w:w="2600" w:type="dxa"/>
            <w:tcBorders/>
            <w:vAlign w:val="center"/>
          </w:tcPr>
          <w:p>
            <w:pPr>
              <w:pStyle w:val="TableContents"/>
              <w:bidi w:val="0"/>
              <w:spacing w:before="0" w:after="0"/>
              <w:jc w:val="left"/>
              <w:rPr>
                <w:color w:val="000000"/>
              </w:rPr>
            </w:pPr>
            <w:r>
              <w:rPr>
                <w:color w:val="000000"/>
              </w:rPr>
              <w:t>United States of America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Metalurgica Met-Mex Penoles S.A. De C.V.</w:t>
            </w:r>
          </w:p>
        </w:tc>
        <w:tc>
          <w:tcPr>
            <w:tcW w:w="2600" w:type="dxa"/>
            <w:tcBorders/>
            <w:vAlign w:val="center"/>
          </w:tcPr>
          <w:p>
            <w:pPr>
              <w:pStyle w:val="TableContents"/>
              <w:bidi w:val="0"/>
              <w:spacing w:before="0" w:after="0"/>
              <w:jc w:val="left"/>
              <w:rPr>
                <w:color w:val="000000"/>
              </w:rPr>
            </w:pPr>
            <w:r>
              <w:rPr>
                <w:color w:val="000000"/>
              </w:rPr>
              <w:t>Mexico</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Mitsubishi Materials Corporation</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Mitsui Mining and Smelting Co., Ltd.</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MKS PAMP SA</w:t>
            </w:r>
          </w:p>
        </w:tc>
        <w:tc>
          <w:tcPr>
            <w:tcW w:w="2600" w:type="dxa"/>
            <w:tcBorders/>
            <w:vAlign w:val="center"/>
          </w:tcPr>
          <w:p>
            <w:pPr>
              <w:pStyle w:val="TableContents"/>
              <w:bidi w:val="0"/>
              <w:spacing w:before="0" w:after="0"/>
              <w:jc w:val="left"/>
              <w:rPr>
                <w:color w:val="000000"/>
              </w:rPr>
            </w:pPr>
            <w:r>
              <w:rPr>
                <w:color w:val="000000"/>
              </w:rPr>
              <w:t>Switzerland</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MMTC-PAMP India Pvt., Ltd.</w:t>
            </w:r>
          </w:p>
        </w:tc>
        <w:tc>
          <w:tcPr>
            <w:tcW w:w="2600" w:type="dxa"/>
            <w:tcBorders/>
            <w:vAlign w:val="center"/>
          </w:tcPr>
          <w:p>
            <w:pPr>
              <w:pStyle w:val="TableContents"/>
              <w:bidi w:val="0"/>
              <w:spacing w:before="0" w:after="0"/>
              <w:jc w:val="left"/>
              <w:rPr>
                <w:color w:val="000000"/>
              </w:rPr>
            </w:pPr>
            <w:r>
              <w:rPr>
                <w:color w:val="000000"/>
              </w:rPr>
              <w:t>India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Nadir Metal Rafineri San. Ve Tic. A.S.</w:t>
            </w:r>
          </w:p>
        </w:tc>
        <w:tc>
          <w:tcPr>
            <w:tcW w:w="2600" w:type="dxa"/>
            <w:tcBorders/>
            <w:vAlign w:val="center"/>
          </w:tcPr>
          <w:p>
            <w:pPr>
              <w:pStyle w:val="TableContents"/>
              <w:bidi w:val="0"/>
              <w:spacing w:before="0" w:after="0"/>
              <w:jc w:val="left"/>
              <w:rPr>
                <w:color w:val="000000"/>
              </w:rPr>
            </w:pPr>
            <w:r>
              <w:rPr>
                <w:color w:val="000000"/>
              </w:rPr>
              <w:t>Turkey</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Navoi Mining and Metallurgical Combinat</w:t>
            </w:r>
          </w:p>
        </w:tc>
        <w:tc>
          <w:tcPr>
            <w:tcW w:w="2600" w:type="dxa"/>
            <w:tcBorders/>
            <w:vAlign w:val="center"/>
          </w:tcPr>
          <w:p>
            <w:pPr>
              <w:pStyle w:val="TableContents"/>
              <w:bidi w:val="0"/>
              <w:spacing w:before="0" w:after="0"/>
              <w:jc w:val="left"/>
              <w:rPr>
                <w:color w:val="000000"/>
              </w:rPr>
            </w:pPr>
            <w:r>
              <w:rPr>
                <w:color w:val="000000"/>
              </w:rPr>
              <w:t>Uzbekistan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NH Recytech Company</w:t>
            </w:r>
          </w:p>
        </w:tc>
        <w:tc>
          <w:tcPr>
            <w:tcW w:w="2600" w:type="dxa"/>
            <w:tcBorders/>
            <w:vAlign w:val="center"/>
          </w:tcPr>
          <w:p>
            <w:pPr>
              <w:pStyle w:val="TableContents"/>
              <w:bidi w:val="0"/>
              <w:spacing w:before="0" w:after="0"/>
              <w:jc w:val="left"/>
              <w:rPr>
                <w:color w:val="000000"/>
              </w:rPr>
            </w:pPr>
            <w:r>
              <w:rPr>
                <w:color w:val="000000"/>
              </w:rPr>
              <w:t>Korea, Republic of</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Nihon Material Co., Ltd.</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Ohura Precious Metal Industry Co., Ltd.</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Planta Recuperadora de Metales SpA</w:t>
            </w:r>
          </w:p>
        </w:tc>
        <w:tc>
          <w:tcPr>
            <w:tcW w:w="2600" w:type="dxa"/>
            <w:tcBorders/>
            <w:vAlign w:val="center"/>
          </w:tcPr>
          <w:p>
            <w:pPr>
              <w:pStyle w:val="TableContents"/>
              <w:bidi w:val="0"/>
              <w:spacing w:before="0" w:after="0"/>
              <w:jc w:val="left"/>
              <w:rPr>
                <w:color w:val="000000"/>
              </w:rPr>
            </w:pPr>
            <w:r>
              <w:rPr>
                <w:color w:val="000000"/>
              </w:rPr>
              <w:t>Chile</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PT Aneka Tambang (Persero) Tbk</w:t>
            </w:r>
          </w:p>
        </w:tc>
        <w:tc>
          <w:tcPr>
            <w:tcW w:w="2600" w:type="dxa"/>
            <w:tcBorders/>
            <w:vAlign w:val="center"/>
          </w:tcPr>
          <w:p>
            <w:pPr>
              <w:pStyle w:val="TableContents"/>
              <w:bidi w:val="0"/>
              <w:spacing w:before="0" w:after="0"/>
              <w:jc w:val="left"/>
              <w:rPr>
                <w:color w:val="000000"/>
              </w:rPr>
            </w:pPr>
            <w:r>
              <w:rPr>
                <w:color w:val="000000"/>
              </w:rPr>
              <w:t>Indonesia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PX Precinox S.A.</w:t>
            </w:r>
          </w:p>
        </w:tc>
        <w:tc>
          <w:tcPr>
            <w:tcW w:w="2600" w:type="dxa"/>
            <w:tcBorders/>
            <w:vAlign w:val="center"/>
          </w:tcPr>
          <w:p>
            <w:pPr>
              <w:pStyle w:val="TableContents"/>
              <w:bidi w:val="0"/>
              <w:spacing w:before="0" w:after="0"/>
              <w:jc w:val="left"/>
              <w:rPr>
                <w:color w:val="000000"/>
              </w:rPr>
            </w:pPr>
            <w:r>
              <w:rPr>
                <w:color w:val="000000"/>
              </w:rPr>
              <w:t>Switzerland</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Rand Refinery (Pty) Ltd.</w:t>
            </w:r>
          </w:p>
        </w:tc>
        <w:tc>
          <w:tcPr>
            <w:tcW w:w="2600" w:type="dxa"/>
            <w:tcBorders/>
            <w:vAlign w:val="center"/>
          </w:tcPr>
          <w:p>
            <w:pPr>
              <w:pStyle w:val="TableContents"/>
              <w:bidi w:val="0"/>
              <w:spacing w:before="0" w:after="0"/>
              <w:jc w:val="left"/>
              <w:rPr>
                <w:color w:val="000000"/>
              </w:rPr>
            </w:pPr>
            <w:r>
              <w:rPr>
                <w:color w:val="000000"/>
              </w:rPr>
              <w:t>South Africa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REMONDIS PMR B.V.</w:t>
            </w:r>
          </w:p>
        </w:tc>
        <w:tc>
          <w:tcPr>
            <w:tcW w:w="2600" w:type="dxa"/>
            <w:tcBorders/>
            <w:vAlign w:val="center"/>
          </w:tcPr>
          <w:p>
            <w:pPr>
              <w:pStyle w:val="TableContents"/>
              <w:bidi w:val="0"/>
              <w:spacing w:before="0" w:after="0"/>
              <w:jc w:val="left"/>
              <w:rPr>
                <w:color w:val="000000"/>
              </w:rPr>
            </w:pPr>
            <w:r>
              <w:rPr>
                <w:color w:val="000000"/>
              </w:rPr>
              <w:t>Netherlands</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Royal Canadian Mint</w:t>
            </w:r>
          </w:p>
        </w:tc>
        <w:tc>
          <w:tcPr>
            <w:tcW w:w="2600" w:type="dxa"/>
            <w:tcBorders/>
            <w:vAlign w:val="center"/>
          </w:tcPr>
          <w:p>
            <w:pPr>
              <w:pStyle w:val="TableContents"/>
              <w:bidi w:val="0"/>
              <w:spacing w:before="0" w:after="0"/>
              <w:jc w:val="left"/>
              <w:rPr>
                <w:color w:val="000000"/>
              </w:rPr>
            </w:pPr>
            <w:r>
              <w:rPr>
                <w:color w:val="000000"/>
              </w:rPr>
              <w:t>Canada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SAFINA A.S.</w:t>
            </w:r>
          </w:p>
        </w:tc>
        <w:tc>
          <w:tcPr>
            <w:tcW w:w="2600" w:type="dxa"/>
            <w:tcBorders/>
            <w:vAlign w:val="center"/>
          </w:tcPr>
          <w:p>
            <w:pPr>
              <w:pStyle w:val="TableContents"/>
              <w:bidi w:val="0"/>
              <w:spacing w:before="0" w:after="0"/>
              <w:jc w:val="left"/>
              <w:rPr>
                <w:color w:val="000000"/>
              </w:rPr>
            </w:pPr>
            <w:r>
              <w:rPr>
                <w:color w:val="000000"/>
              </w:rPr>
              <w:t>Czechia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SEMPSA Joyeria Plateria S.A.</w:t>
            </w:r>
          </w:p>
        </w:tc>
        <w:tc>
          <w:tcPr>
            <w:tcW w:w="2600" w:type="dxa"/>
            <w:tcBorders/>
            <w:vAlign w:val="center"/>
          </w:tcPr>
          <w:p>
            <w:pPr>
              <w:pStyle w:val="TableContents"/>
              <w:bidi w:val="0"/>
              <w:spacing w:before="0" w:after="0"/>
              <w:jc w:val="left"/>
              <w:rPr>
                <w:color w:val="000000"/>
              </w:rPr>
            </w:pPr>
            <w:r>
              <w:rPr>
                <w:color w:val="000000"/>
              </w:rPr>
              <w:t>Spain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Shandong Gold Smelting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Shandong Zhaojin Gold &amp; Silver Refinery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Sichuan Tianze Precious Metals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Solar Applied Materials Technology Corp.</w:t>
            </w:r>
          </w:p>
        </w:tc>
        <w:tc>
          <w:tcPr>
            <w:tcW w:w="2600" w:type="dxa"/>
            <w:tcBorders/>
            <w:vAlign w:val="center"/>
          </w:tcPr>
          <w:p>
            <w:pPr>
              <w:pStyle w:val="TableContents"/>
              <w:bidi w:val="0"/>
              <w:spacing w:before="0" w:after="0"/>
              <w:jc w:val="left"/>
              <w:rPr>
                <w:color w:val="000000"/>
              </w:rPr>
            </w:pPr>
            <w:r>
              <w:rPr>
                <w:color w:val="000000"/>
              </w:rPr>
              <w:t>Taiwan, Province of China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Sumitomo Metal Mining Co., Ltd.</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SungEel HiMetal Co., Ltd.</w:t>
            </w:r>
          </w:p>
        </w:tc>
        <w:tc>
          <w:tcPr>
            <w:tcW w:w="2600" w:type="dxa"/>
            <w:tcBorders/>
            <w:vAlign w:val="center"/>
          </w:tcPr>
          <w:p>
            <w:pPr>
              <w:pStyle w:val="TableContents"/>
              <w:bidi w:val="0"/>
              <w:spacing w:before="0" w:after="0"/>
              <w:jc w:val="left"/>
              <w:rPr>
                <w:color w:val="000000"/>
              </w:rPr>
            </w:pPr>
            <w:r>
              <w:rPr>
                <w:color w:val="000000"/>
              </w:rPr>
              <w:t>Korea, Republic of</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T.C.A S.p.A</w:t>
            </w:r>
          </w:p>
        </w:tc>
        <w:tc>
          <w:tcPr>
            <w:tcW w:w="2600" w:type="dxa"/>
            <w:tcBorders/>
            <w:vAlign w:val="center"/>
          </w:tcPr>
          <w:p>
            <w:pPr>
              <w:pStyle w:val="TableContents"/>
              <w:bidi w:val="0"/>
              <w:spacing w:before="0" w:after="0"/>
              <w:jc w:val="left"/>
              <w:rPr>
                <w:color w:val="000000"/>
              </w:rPr>
            </w:pPr>
            <w:r>
              <w:rPr>
                <w:color w:val="000000"/>
              </w:rPr>
              <w:t>Italy</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Tanaka Kikinzoku Kogyo K.K.</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Tokuriki Honten Co., Ltd.</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TOO Tau-Ken-Altyn</w:t>
            </w:r>
          </w:p>
        </w:tc>
        <w:tc>
          <w:tcPr>
            <w:tcW w:w="2600" w:type="dxa"/>
            <w:tcBorders/>
            <w:vAlign w:val="center"/>
          </w:tcPr>
          <w:p>
            <w:pPr>
              <w:pStyle w:val="TableContents"/>
              <w:bidi w:val="0"/>
              <w:spacing w:before="0" w:after="0"/>
              <w:jc w:val="left"/>
              <w:rPr>
                <w:color w:val="000000"/>
              </w:rPr>
            </w:pPr>
            <w:r>
              <w:rPr>
                <w:color w:val="000000"/>
              </w:rPr>
              <w:t>Kazakhstan</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Umicore S.A. Business Unit Precious Metals Refining</w:t>
            </w:r>
          </w:p>
        </w:tc>
        <w:tc>
          <w:tcPr>
            <w:tcW w:w="2600" w:type="dxa"/>
            <w:tcBorders/>
            <w:vAlign w:val="center"/>
          </w:tcPr>
          <w:p>
            <w:pPr>
              <w:pStyle w:val="TableContents"/>
              <w:bidi w:val="0"/>
              <w:spacing w:before="0" w:after="0"/>
              <w:jc w:val="left"/>
              <w:rPr>
                <w:color w:val="000000"/>
              </w:rPr>
            </w:pPr>
            <w:r>
              <w:rPr>
                <w:color w:val="000000"/>
              </w:rPr>
              <w:t>Belgium</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United Precious Metal Refining, Inc.</w:t>
            </w:r>
          </w:p>
        </w:tc>
        <w:tc>
          <w:tcPr>
            <w:tcW w:w="2600" w:type="dxa"/>
            <w:tcBorders/>
            <w:vAlign w:val="center"/>
          </w:tcPr>
          <w:p>
            <w:pPr>
              <w:pStyle w:val="TableContents"/>
              <w:bidi w:val="0"/>
              <w:spacing w:before="0" w:after="0"/>
              <w:jc w:val="left"/>
              <w:rPr>
                <w:color w:val="000000"/>
              </w:rPr>
            </w:pPr>
            <w:r>
              <w:rPr>
                <w:color w:val="000000"/>
              </w:rPr>
              <w:t>United States of America</w:t>
            </w:r>
          </w:p>
        </w:tc>
      </w:tr>
      <w:tr>
        <w:trPr/>
        <w:tc>
          <w:tcPr>
            <w:tcW w:w="515" w:type="dxa"/>
            <w:tcBorders/>
            <w:vAlign w:val="center"/>
          </w:tcPr>
          <w:p>
            <w:pPr>
              <w:pStyle w:val="TableContents"/>
              <w:bidi w:val="0"/>
              <w:spacing w:before="0" w:after="0"/>
              <w:jc w:val="left"/>
              <w:rPr>
                <w:color w:val="000000"/>
              </w:rPr>
            </w:pPr>
            <w:r>
              <w:rPr>
                <w:color w:val="000000"/>
              </w:rPr>
              <w:t>Gold</w:t>
            </w:r>
          </w:p>
        </w:tc>
        <w:tc>
          <w:tcPr>
            <w:tcW w:w="5165" w:type="dxa"/>
            <w:tcBorders/>
            <w:vAlign w:val="center"/>
          </w:tcPr>
          <w:p>
            <w:pPr>
              <w:pStyle w:val="TableContents"/>
              <w:bidi w:val="0"/>
              <w:spacing w:before="0" w:after="0"/>
              <w:jc w:val="left"/>
              <w:rPr>
                <w:color w:val="000000"/>
              </w:rPr>
            </w:pPr>
            <w:r>
              <w:rPr>
                <w:color w:val="000000"/>
              </w:rPr>
              <w:t>Valcambi S.A.</w:t>
            </w:r>
          </w:p>
        </w:tc>
        <w:tc>
          <w:tcPr>
            <w:tcW w:w="2600" w:type="dxa"/>
            <w:tcBorders/>
            <w:vAlign w:val="center"/>
          </w:tcPr>
          <w:p>
            <w:pPr>
              <w:pStyle w:val="TableContents"/>
              <w:bidi w:val="0"/>
              <w:spacing w:before="0" w:after="0"/>
              <w:jc w:val="left"/>
              <w:rPr>
                <w:color w:val="000000"/>
              </w:rPr>
            </w:pPr>
            <w:r>
              <w:rPr>
                <w:color w:val="000000"/>
              </w:rPr>
              <w:t>Switzerland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B-2</w:t>
      </w:r>
    </w:p>
    <w:p>
      <w:pPr>
        <w:pStyle w:val="HorizontalLine"/>
        <w:pBdr>
          <w:bottom w:val="single" w:sz="12" w:space="0" w:color="808080"/>
        </w:pBdr>
        <w:bidi w:val="0"/>
        <w:spacing w:before="200" w:after="200"/>
        <w:jc w:val="left"/>
        <w:rPr/>
      </w:pPr>
      <w:r>
        <w:rPr/>
      </w:r>
    </w:p>
    <w:tbl>
      <w:tblPr>
        <w:tblW w:w="8715" w:type="dxa"/>
        <w:jc w:val="left"/>
        <w:tblInd w:w="0" w:type="dxa"/>
        <w:tblLayout w:type="fixed"/>
        <w:tblCellMar>
          <w:top w:w="0" w:type="dxa"/>
          <w:left w:w="0" w:type="dxa"/>
          <w:bottom w:w="0" w:type="dxa"/>
          <w:right w:w="0" w:type="dxa"/>
        </w:tblCellMar>
      </w:tblPr>
      <w:tblGrid>
        <w:gridCol w:w="935"/>
        <w:gridCol w:w="5360"/>
        <w:gridCol w:w="2420"/>
      </w:tblGrid>
      <w:tr>
        <w:trPr/>
        <w:tc>
          <w:tcPr>
            <w:tcW w:w="935" w:type="dxa"/>
            <w:tcBorders/>
            <w:vAlign w:val="center"/>
          </w:tcPr>
          <w:p>
            <w:pPr>
              <w:pStyle w:val="TableContents"/>
              <w:bidi w:val="0"/>
              <w:spacing w:before="0" w:after="0"/>
              <w:jc w:val="left"/>
              <w:rPr>
                <w:color w:val="000000"/>
              </w:rPr>
            </w:pPr>
            <w:r>
              <w:rPr>
                <w:color w:val="000000"/>
              </w:rPr>
              <w:t>Gold</w:t>
            </w:r>
          </w:p>
        </w:tc>
        <w:tc>
          <w:tcPr>
            <w:tcW w:w="5360" w:type="dxa"/>
            <w:tcBorders/>
            <w:vAlign w:val="center"/>
          </w:tcPr>
          <w:p>
            <w:pPr>
              <w:pStyle w:val="TableContents"/>
              <w:bidi w:val="0"/>
              <w:spacing w:before="0" w:after="0"/>
              <w:jc w:val="left"/>
              <w:rPr>
                <w:color w:val="000000"/>
              </w:rPr>
            </w:pPr>
            <w:r>
              <w:rPr>
                <w:color w:val="000000"/>
              </w:rPr>
              <w:t>WIELAND Edelmetalle GmbH</w:t>
            </w:r>
          </w:p>
        </w:tc>
        <w:tc>
          <w:tcPr>
            <w:tcW w:w="2420" w:type="dxa"/>
            <w:tcBorders/>
            <w:vAlign w:val="center"/>
          </w:tcPr>
          <w:p>
            <w:pPr>
              <w:pStyle w:val="TableContents"/>
              <w:bidi w:val="0"/>
              <w:spacing w:before="0" w:after="0"/>
              <w:jc w:val="left"/>
              <w:rPr>
                <w:color w:val="000000"/>
              </w:rPr>
            </w:pPr>
            <w:r>
              <w:rPr>
                <w:color w:val="000000"/>
              </w:rPr>
              <w:t>Germany</w:t>
            </w:r>
          </w:p>
        </w:tc>
      </w:tr>
      <w:tr>
        <w:trPr/>
        <w:tc>
          <w:tcPr>
            <w:tcW w:w="935" w:type="dxa"/>
            <w:tcBorders/>
            <w:vAlign w:val="center"/>
          </w:tcPr>
          <w:p>
            <w:pPr>
              <w:pStyle w:val="TableContents"/>
              <w:bidi w:val="0"/>
              <w:spacing w:before="0" w:after="0"/>
              <w:jc w:val="left"/>
              <w:rPr>
                <w:color w:val="000000"/>
              </w:rPr>
            </w:pPr>
            <w:r>
              <w:rPr>
                <w:color w:val="000000"/>
              </w:rPr>
              <w:t>Gold</w:t>
            </w:r>
          </w:p>
        </w:tc>
        <w:tc>
          <w:tcPr>
            <w:tcW w:w="5360" w:type="dxa"/>
            <w:tcBorders/>
            <w:vAlign w:val="center"/>
          </w:tcPr>
          <w:p>
            <w:pPr>
              <w:pStyle w:val="TableContents"/>
              <w:bidi w:val="0"/>
              <w:spacing w:before="0" w:after="0"/>
              <w:jc w:val="left"/>
              <w:rPr>
                <w:color w:val="000000"/>
              </w:rPr>
            </w:pPr>
            <w:r>
              <w:rPr>
                <w:color w:val="000000"/>
              </w:rPr>
              <w:t>Yamakin Co., Ltd.</w:t>
            </w:r>
          </w:p>
        </w:tc>
        <w:tc>
          <w:tcPr>
            <w:tcW w:w="2420" w:type="dxa"/>
            <w:tcBorders/>
            <w:vAlign w:val="center"/>
          </w:tcPr>
          <w:p>
            <w:pPr>
              <w:pStyle w:val="TableContents"/>
              <w:bidi w:val="0"/>
              <w:spacing w:before="0" w:after="0"/>
              <w:jc w:val="left"/>
              <w:rPr>
                <w:color w:val="000000"/>
              </w:rPr>
            </w:pPr>
            <w:r>
              <w:rPr>
                <w:color w:val="000000"/>
              </w:rPr>
              <w:t>Japan</w:t>
            </w:r>
          </w:p>
        </w:tc>
      </w:tr>
      <w:tr>
        <w:trPr/>
        <w:tc>
          <w:tcPr>
            <w:tcW w:w="935" w:type="dxa"/>
            <w:tcBorders/>
            <w:vAlign w:val="center"/>
          </w:tcPr>
          <w:p>
            <w:pPr>
              <w:pStyle w:val="TableContents"/>
              <w:bidi w:val="0"/>
              <w:spacing w:before="0" w:after="0"/>
              <w:jc w:val="left"/>
              <w:rPr>
                <w:color w:val="000000"/>
              </w:rPr>
            </w:pPr>
            <w:r>
              <w:rPr>
                <w:color w:val="000000"/>
              </w:rPr>
              <w:t>Gold</w:t>
            </w:r>
          </w:p>
        </w:tc>
        <w:tc>
          <w:tcPr>
            <w:tcW w:w="5360" w:type="dxa"/>
            <w:tcBorders/>
            <w:vAlign w:val="center"/>
          </w:tcPr>
          <w:p>
            <w:pPr>
              <w:pStyle w:val="TableContents"/>
              <w:bidi w:val="0"/>
              <w:spacing w:before="0" w:after="0"/>
              <w:jc w:val="left"/>
              <w:rPr>
                <w:color w:val="000000"/>
              </w:rPr>
            </w:pPr>
            <w:r>
              <w:rPr>
                <w:color w:val="000000"/>
              </w:rPr>
              <w:t>Yokohama Metal Co., Ltd.</w:t>
            </w:r>
          </w:p>
        </w:tc>
        <w:tc>
          <w:tcPr>
            <w:tcW w:w="2420" w:type="dxa"/>
            <w:tcBorders/>
            <w:vAlign w:val="center"/>
          </w:tcPr>
          <w:p>
            <w:pPr>
              <w:pStyle w:val="TableContents"/>
              <w:bidi w:val="0"/>
              <w:spacing w:before="0" w:after="0"/>
              <w:jc w:val="left"/>
              <w:rPr>
                <w:color w:val="000000"/>
              </w:rPr>
            </w:pPr>
            <w:r>
              <w:rPr>
                <w:color w:val="000000"/>
              </w:rPr>
              <w:t>Japan</w:t>
            </w:r>
          </w:p>
        </w:tc>
      </w:tr>
      <w:tr>
        <w:trPr/>
        <w:tc>
          <w:tcPr>
            <w:tcW w:w="935" w:type="dxa"/>
            <w:tcBorders/>
            <w:vAlign w:val="center"/>
          </w:tcPr>
          <w:p>
            <w:pPr>
              <w:pStyle w:val="TableContents"/>
              <w:bidi w:val="0"/>
              <w:spacing w:before="0" w:after="0"/>
              <w:jc w:val="left"/>
              <w:rPr>
                <w:color w:val="000000"/>
              </w:rPr>
            </w:pPr>
            <w:r>
              <w:rPr>
                <w:color w:val="000000"/>
              </w:rPr>
              <w:t>Gold</w:t>
            </w:r>
          </w:p>
        </w:tc>
        <w:tc>
          <w:tcPr>
            <w:tcW w:w="5360" w:type="dxa"/>
            <w:tcBorders/>
            <w:vAlign w:val="center"/>
          </w:tcPr>
          <w:p>
            <w:pPr>
              <w:pStyle w:val="TableContents"/>
              <w:bidi w:val="0"/>
              <w:spacing w:before="0" w:after="0"/>
              <w:jc w:val="left"/>
              <w:rPr>
                <w:color w:val="000000"/>
              </w:rPr>
            </w:pPr>
            <w:r>
              <w:rPr>
                <w:color w:val="000000"/>
              </w:rPr>
              <w:t>Zhongyuan Gold Smelter of Zhongjin Gold Corporation</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AMG Brasil</w:t>
            </w:r>
          </w:p>
        </w:tc>
        <w:tc>
          <w:tcPr>
            <w:tcW w:w="2420" w:type="dxa"/>
            <w:tcBorders/>
            <w:vAlign w:val="center"/>
          </w:tcPr>
          <w:p>
            <w:pPr>
              <w:pStyle w:val="TableContents"/>
              <w:bidi w:val="0"/>
              <w:spacing w:before="0" w:after="0"/>
              <w:jc w:val="left"/>
              <w:rPr>
                <w:color w:val="000000"/>
              </w:rPr>
            </w:pPr>
            <w:r>
              <w:rPr>
                <w:color w:val="000000"/>
              </w:rPr>
              <w:t>Brazil</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D Block Metals, LLC</w:t>
            </w:r>
          </w:p>
        </w:tc>
        <w:tc>
          <w:tcPr>
            <w:tcW w:w="2420" w:type="dxa"/>
            <w:tcBorders/>
            <w:vAlign w:val="center"/>
          </w:tcPr>
          <w:p>
            <w:pPr>
              <w:pStyle w:val="TableContents"/>
              <w:bidi w:val="0"/>
              <w:spacing w:before="0" w:after="0"/>
              <w:jc w:val="left"/>
              <w:rPr>
                <w:color w:val="000000"/>
              </w:rPr>
            </w:pPr>
            <w:r>
              <w:rPr>
                <w:color w:val="000000"/>
              </w:rPr>
              <w:t>United States of America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F&amp;X Electro-Materials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FIR Metals &amp; Resource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Global Advanced Metals Aizu</w:t>
            </w:r>
          </w:p>
        </w:tc>
        <w:tc>
          <w:tcPr>
            <w:tcW w:w="2420" w:type="dxa"/>
            <w:tcBorders/>
            <w:vAlign w:val="center"/>
          </w:tcPr>
          <w:p>
            <w:pPr>
              <w:pStyle w:val="TableContents"/>
              <w:bidi w:val="0"/>
              <w:spacing w:before="0" w:after="0"/>
              <w:jc w:val="left"/>
              <w:rPr>
                <w:color w:val="000000"/>
              </w:rPr>
            </w:pPr>
            <w:r>
              <w:rPr>
                <w:color w:val="000000"/>
              </w:rPr>
              <w:t>Japan</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Global Advanced Metals Boyertown</w:t>
            </w:r>
          </w:p>
        </w:tc>
        <w:tc>
          <w:tcPr>
            <w:tcW w:w="2420" w:type="dxa"/>
            <w:tcBorders/>
            <w:vAlign w:val="center"/>
          </w:tcPr>
          <w:p>
            <w:pPr>
              <w:pStyle w:val="TableContents"/>
              <w:bidi w:val="0"/>
              <w:spacing w:before="0" w:after="0"/>
              <w:jc w:val="left"/>
              <w:rPr>
                <w:color w:val="000000"/>
              </w:rPr>
            </w:pPr>
            <w:r>
              <w:rPr>
                <w:color w:val="000000"/>
              </w:rPr>
              <w:t>United States of America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Guangdong Rising Rare Metals-EO Materials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Hengyang King Xing Lifeng New Materials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Jiangxi Dinghai Tantalum &amp; Niobium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Jiangxi Tuohong New Raw Material</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JiuJiang JinXin Nonferrous Metals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Jiujiang Tanbre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Jiujiang Zhongao Tantalum &amp; Niobium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KEMET de Mexico</w:t>
            </w:r>
          </w:p>
        </w:tc>
        <w:tc>
          <w:tcPr>
            <w:tcW w:w="2420" w:type="dxa"/>
            <w:tcBorders/>
            <w:vAlign w:val="center"/>
          </w:tcPr>
          <w:p>
            <w:pPr>
              <w:pStyle w:val="TableContents"/>
              <w:bidi w:val="0"/>
              <w:spacing w:before="0" w:after="0"/>
              <w:jc w:val="left"/>
              <w:rPr>
                <w:color w:val="000000"/>
              </w:rPr>
            </w:pPr>
            <w:r>
              <w:rPr>
                <w:color w:val="000000"/>
              </w:rPr>
              <w:t>Mexico</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Materion Newton Inc.</w:t>
            </w:r>
          </w:p>
        </w:tc>
        <w:tc>
          <w:tcPr>
            <w:tcW w:w="2420" w:type="dxa"/>
            <w:tcBorders/>
            <w:vAlign w:val="center"/>
          </w:tcPr>
          <w:p>
            <w:pPr>
              <w:pStyle w:val="TableContents"/>
              <w:bidi w:val="0"/>
              <w:spacing w:before="0" w:after="0"/>
              <w:jc w:val="left"/>
              <w:rPr>
                <w:color w:val="000000"/>
              </w:rPr>
            </w:pPr>
            <w:r>
              <w:rPr>
                <w:color w:val="000000"/>
              </w:rPr>
              <w:t>United States of America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Metallurgical Products India Pvt., Ltd.</w:t>
            </w:r>
          </w:p>
        </w:tc>
        <w:tc>
          <w:tcPr>
            <w:tcW w:w="2420" w:type="dxa"/>
            <w:tcBorders/>
            <w:vAlign w:val="center"/>
          </w:tcPr>
          <w:p>
            <w:pPr>
              <w:pStyle w:val="TableContents"/>
              <w:bidi w:val="0"/>
              <w:spacing w:before="0" w:after="0"/>
              <w:jc w:val="left"/>
              <w:rPr>
                <w:color w:val="000000"/>
              </w:rPr>
            </w:pPr>
            <w:r>
              <w:rPr>
                <w:color w:val="000000"/>
              </w:rPr>
              <w:t>India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Mineracao Taboca S.A.</w:t>
            </w:r>
          </w:p>
        </w:tc>
        <w:tc>
          <w:tcPr>
            <w:tcW w:w="2420" w:type="dxa"/>
            <w:tcBorders/>
            <w:vAlign w:val="center"/>
          </w:tcPr>
          <w:p>
            <w:pPr>
              <w:pStyle w:val="TableContents"/>
              <w:bidi w:val="0"/>
              <w:spacing w:before="0" w:after="0"/>
              <w:jc w:val="left"/>
              <w:rPr>
                <w:color w:val="000000"/>
              </w:rPr>
            </w:pPr>
            <w:r>
              <w:rPr>
                <w:color w:val="000000"/>
              </w:rPr>
              <w:t>Brazil</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Mitsui Kinzoku Company, Limited</w:t>
            </w:r>
          </w:p>
        </w:tc>
        <w:tc>
          <w:tcPr>
            <w:tcW w:w="2420" w:type="dxa"/>
            <w:tcBorders/>
            <w:vAlign w:val="center"/>
          </w:tcPr>
          <w:p>
            <w:pPr>
              <w:pStyle w:val="TableContents"/>
              <w:bidi w:val="0"/>
              <w:spacing w:before="0" w:after="0"/>
              <w:jc w:val="left"/>
              <w:rPr>
                <w:color w:val="000000"/>
              </w:rPr>
            </w:pPr>
            <w:r>
              <w:rPr>
                <w:color w:val="000000"/>
              </w:rPr>
              <w:t>Japan</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Ningxia Orient Tantalum Industry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NPM Silmet AS</w:t>
            </w:r>
          </w:p>
        </w:tc>
        <w:tc>
          <w:tcPr>
            <w:tcW w:w="2420" w:type="dxa"/>
            <w:tcBorders/>
            <w:vAlign w:val="center"/>
          </w:tcPr>
          <w:p>
            <w:pPr>
              <w:pStyle w:val="TableContents"/>
              <w:bidi w:val="0"/>
              <w:spacing w:before="0" w:after="0"/>
              <w:jc w:val="left"/>
              <w:rPr>
                <w:color w:val="000000"/>
              </w:rPr>
            </w:pPr>
            <w:r>
              <w:rPr>
                <w:color w:val="000000"/>
              </w:rPr>
              <w:t>Estonia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PowerX Ltd.</w:t>
            </w:r>
          </w:p>
        </w:tc>
        <w:tc>
          <w:tcPr>
            <w:tcW w:w="2420" w:type="dxa"/>
            <w:tcBorders/>
            <w:vAlign w:val="center"/>
          </w:tcPr>
          <w:p>
            <w:pPr>
              <w:pStyle w:val="TableContents"/>
              <w:bidi w:val="0"/>
              <w:spacing w:before="0" w:after="0"/>
              <w:jc w:val="left"/>
              <w:rPr>
                <w:color w:val="000000"/>
              </w:rPr>
            </w:pPr>
            <w:r>
              <w:rPr>
                <w:color w:val="000000"/>
              </w:rPr>
              <w:t>Rwanda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Resind Industria e Comercio Ltda.</w:t>
            </w:r>
          </w:p>
        </w:tc>
        <w:tc>
          <w:tcPr>
            <w:tcW w:w="2420" w:type="dxa"/>
            <w:tcBorders/>
            <w:vAlign w:val="center"/>
          </w:tcPr>
          <w:p>
            <w:pPr>
              <w:pStyle w:val="TableContents"/>
              <w:bidi w:val="0"/>
              <w:spacing w:before="0" w:after="0"/>
              <w:jc w:val="left"/>
              <w:rPr>
                <w:color w:val="000000"/>
              </w:rPr>
            </w:pPr>
            <w:r>
              <w:rPr>
                <w:color w:val="000000"/>
              </w:rPr>
              <w:t>Brazil</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Smelter not listed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Taki Chemical Co., Ltd.</w:t>
            </w:r>
          </w:p>
        </w:tc>
        <w:tc>
          <w:tcPr>
            <w:tcW w:w="2420" w:type="dxa"/>
            <w:tcBorders/>
            <w:vAlign w:val="center"/>
          </w:tcPr>
          <w:p>
            <w:pPr>
              <w:pStyle w:val="TableContents"/>
              <w:bidi w:val="0"/>
              <w:spacing w:before="0" w:after="0"/>
              <w:jc w:val="left"/>
              <w:rPr>
                <w:color w:val="000000"/>
              </w:rPr>
            </w:pPr>
            <w:r>
              <w:rPr>
                <w:color w:val="000000"/>
              </w:rPr>
              <w:t>Japan</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TANIOBIS Co., Ltd.</w:t>
            </w:r>
          </w:p>
        </w:tc>
        <w:tc>
          <w:tcPr>
            <w:tcW w:w="2420" w:type="dxa"/>
            <w:tcBorders/>
            <w:vAlign w:val="center"/>
          </w:tcPr>
          <w:p>
            <w:pPr>
              <w:pStyle w:val="TableContents"/>
              <w:bidi w:val="0"/>
              <w:spacing w:before="0" w:after="0"/>
              <w:jc w:val="left"/>
              <w:rPr>
                <w:color w:val="000000"/>
              </w:rPr>
            </w:pPr>
            <w:r>
              <w:rPr>
                <w:color w:val="000000"/>
              </w:rPr>
              <w:t>Thailand</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TANIOBIS GmbH</w:t>
            </w:r>
          </w:p>
        </w:tc>
        <w:tc>
          <w:tcPr>
            <w:tcW w:w="2420" w:type="dxa"/>
            <w:tcBorders/>
            <w:vAlign w:val="center"/>
          </w:tcPr>
          <w:p>
            <w:pPr>
              <w:pStyle w:val="TableContents"/>
              <w:bidi w:val="0"/>
              <w:spacing w:before="0" w:after="0"/>
              <w:jc w:val="left"/>
              <w:rPr>
                <w:color w:val="000000"/>
              </w:rPr>
            </w:pPr>
            <w:r>
              <w:rPr>
                <w:color w:val="000000"/>
              </w:rPr>
              <w:t>Germany</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TANIOBIS Japan Co., Ltd.</w:t>
            </w:r>
          </w:p>
        </w:tc>
        <w:tc>
          <w:tcPr>
            <w:tcW w:w="2420" w:type="dxa"/>
            <w:tcBorders/>
            <w:vAlign w:val="center"/>
          </w:tcPr>
          <w:p>
            <w:pPr>
              <w:pStyle w:val="TableContents"/>
              <w:bidi w:val="0"/>
              <w:spacing w:before="0" w:after="0"/>
              <w:jc w:val="left"/>
              <w:rPr>
                <w:color w:val="000000"/>
              </w:rPr>
            </w:pPr>
            <w:r>
              <w:rPr>
                <w:color w:val="000000"/>
              </w:rPr>
              <w:t>Japan</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TANIOBIS Smelting GmbH &amp; Co. KG</w:t>
            </w:r>
          </w:p>
        </w:tc>
        <w:tc>
          <w:tcPr>
            <w:tcW w:w="2420" w:type="dxa"/>
            <w:tcBorders/>
            <w:vAlign w:val="center"/>
          </w:tcPr>
          <w:p>
            <w:pPr>
              <w:pStyle w:val="TableContents"/>
              <w:bidi w:val="0"/>
              <w:spacing w:before="0" w:after="0"/>
              <w:jc w:val="left"/>
              <w:rPr>
                <w:color w:val="000000"/>
              </w:rPr>
            </w:pPr>
            <w:r>
              <w:rPr>
                <w:color w:val="000000"/>
              </w:rPr>
              <w:t>Germany</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Telex Metals</w:t>
            </w:r>
          </w:p>
        </w:tc>
        <w:tc>
          <w:tcPr>
            <w:tcW w:w="2420" w:type="dxa"/>
            <w:tcBorders/>
            <w:vAlign w:val="center"/>
          </w:tcPr>
          <w:p>
            <w:pPr>
              <w:pStyle w:val="TableContents"/>
              <w:bidi w:val="0"/>
              <w:spacing w:before="0" w:after="0"/>
              <w:jc w:val="left"/>
              <w:rPr>
                <w:color w:val="000000"/>
              </w:rPr>
            </w:pPr>
            <w:r>
              <w:rPr>
                <w:color w:val="000000"/>
              </w:rPr>
              <w:t>United States of America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Ulba Metallurgical Plant JSC</w:t>
            </w:r>
          </w:p>
        </w:tc>
        <w:tc>
          <w:tcPr>
            <w:tcW w:w="2420" w:type="dxa"/>
            <w:tcBorders/>
            <w:vAlign w:val="center"/>
          </w:tcPr>
          <w:p>
            <w:pPr>
              <w:pStyle w:val="TableContents"/>
              <w:bidi w:val="0"/>
              <w:spacing w:before="0" w:after="0"/>
              <w:jc w:val="left"/>
              <w:rPr>
                <w:color w:val="000000"/>
              </w:rPr>
            </w:pPr>
            <w:r>
              <w:rPr>
                <w:color w:val="000000"/>
              </w:rPr>
              <w:t>Kazakhstan</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XIMEI RESOURCES (GUANGDONG) LIMITED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Tantalum</w:t>
            </w:r>
          </w:p>
        </w:tc>
        <w:tc>
          <w:tcPr>
            <w:tcW w:w="5360" w:type="dxa"/>
            <w:tcBorders/>
            <w:vAlign w:val="center"/>
          </w:tcPr>
          <w:p>
            <w:pPr>
              <w:pStyle w:val="TableContents"/>
              <w:bidi w:val="0"/>
              <w:spacing w:before="0" w:after="0"/>
              <w:jc w:val="left"/>
              <w:rPr>
                <w:color w:val="000000"/>
              </w:rPr>
            </w:pPr>
            <w:r>
              <w:rPr>
                <w:color w:val="000000"/>
              </w:rPr>
              <w:t>Yanling Jincheng Tantalum &amp; Niobium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Alpha Assembly Solutions Inc</w:t>
            </w:r>
          </w:p>
        </w:tc>
        <w:tc>
          <w:tcPr>
            <w:tcW w:w="2420" w:type="dxa"/>
            <w:tcBorders/>
            <w:vAlign w:val="center"/>
          </w:tcPr>
          <w:p>
            <w:pPr>
              <w:pStyle w:val="TableContents"/>
              <w:bidi w:val="0"/>
              <w:spacing w:before="0" w:after="0"/>
              <w:jc w:val="left"/>
              <w:rPr>
                <w:color w:val="000000"/>
              </w:rPr>
            </w:pPr>
            <w:r>
              <w:rPr>
                <w:color w:val="000000"/>
              </w:rPr>
              <w:t>United States of America</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Aurubis Beerse</w:t>
            </w:r>
          </w:p>
        </w:tc>
        <w:tc>
          <w:tcPr>
            <w:tcW w:w="2420" w:type="dxa"/>
            <w:tcBorders/>
            <w:vAlign w:val="center"/>
          </w:tcPr>
          <w:p>
            <w:pPr>
              <w:pStyle w:val="TableContents"/>
              <w:bidi w:val="0"/>
              <w:spacing w:before="0" w:after="0"/>
              <w:jc w:val="left"/>
              <w:rPr>
                <w:color w:val="000000"/>
              </w:rPr>
            </w:pPr>
            <w:r>
              <w:rPr>
                <w:color w:val="000000"/>
              </w:rPr>
              <w:t>Belgium</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Aurubis Berango</w:t>
            </w:r>
          </w:p>
        </w:tc>
        <w:tc>
          <w:tcPr>
            <w:tcW w:w="2420" w:type="dxa"/>
            <w:tcBorders/>
            <w:vAlign w:val="center"/>
          </w:tcPr>
          <w:p>
            <w:pPr>
              <w:pStyle w:val="TableContents"/>
              <w:bidi w:val="0"/>
              <w:spacing w:before="0" w:after="0"/>
              <w:jc w:val="left"/>
              <w:rPr>
                <w:color w:val="000000"/>
              </w:rPr>
            </w:pPr>
            <w:r>
              <w:rPr>
                <w:color w:val="000000"/>
              </w:rPr>
              <w:t>Spain</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Chenzhou Yunxiang Mining and Metallurgy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Chifeng Dajingzi Tin Industry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China Tin Group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CRM Synergies EMEA, S.L.U.</w:t>
            </w:r>
          </w:p>
        </w:tc>
        <w:tc>
          <w:tcPr>
            <w:tcW w:w="2420" w:type="dxa"/>
            <w:tcBorders/>
            <w:vAlign w:val="center"/>
          </w:tcPr>
          <w:p>
            <w:pPr>
              <w:pStyle w:val="TableContents"/>
              <w:bidi w:val="0"/>
              <w:spacing w:before="0" w:after="0"/>
              <w:jc w:val="left"/>
              <w:rPr>
                <w:color w:val="000000"/>
              </w:rPr>
            </w:pPr>
            <w:r>
              <w:rPr>
                <w:color w:val="000000"/>
              </w:rPr>
              <w:t>Spain</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Dongguan Best Alloys Co., Ltd.</w:t>
            </w:r>
          </w:p>
        </w:tc>
        <w:tc>
          <w:tcPr>
            <w:tcW w:w="2420" w:type="dxa"/>
            <w:tcBorders/>
            <w:vAlign w:val="center"/>
          </w:tcPr>
          <w:p>
            <w:pPr>
              <w:pStyle w:val="TableContents"/>
              <w:bidi w:val="0"/>
              <w:spacing w:before="0" w:after="0"/>
              <w:jc w:val="left"/>
              <w:rPr>
                <w:color w:val="000000"/>
              </w:rPr>
            </w:pPr>
            <w:r>
              <w:rPr>
                <w:color w:val="000000"/>
              </w:rPr>
              <w:t>China</w:t>
            </w:r>
          </w:p>
        </w:tc>
      </w:tr>
      <w:tr>
        <w:trPr/>
        <w:tc>
          <w:tcPr>
            <w:tcW w:w="935" w:type="dxa"/>
            <w:tcBorders/>
            <w:vAlign w:val="center"/>
          </w:tcPr>
          <w:p>
            <w:pPr>
              <w:pStyle w:val="TableContents"/>
              <w:bidi w:val="0"/>
              <w:spacing w:before="0" w:after="0"/>
              <w:jc w:val="left"/>
              <w:rPr>
                <w:color w:val="000000"/>
              </w:rPr>
            </w:pPr>
            <w:r>
              <w:rPr>
                <w:color w:val="000000"/>
              </w:rPr>
              <w:t>Tin</w:t>
            </w:r>
          </w:p>
        </w:tc>
        <w:tc>
          <w:tcPr>
            <w:tcW w:w="5360" w:type="dxa"/>
            <w:tcBorders/>
            <w:vAlign w:val="center"/>
          </w:tcPr>
          <w:p>
            <w:pPr>
              <w:pStyle w:val="TableContents"/>
              <w:bidi w:val="0"/>
              <w:spacing w:before="0" w:after="0"/>
              <w:jc w:val="left"/>
              <w:rPr>
                <w:color w:val="000000"/>
              </w:rPr>
            </w:pPr>
            <w:r>
              <w:rPr>
                <w:color w:val="000000"/>
              </w:rPr>
              <w:t>Dowa</w:t>
            </w:r>
          </w:p>
        </w:tc>
        <w:tc>
          <w:tcPr>
            <w:tcW w:w="2420" w:type="dxa"/>
            <w:tcBorders/>
            <w:vAlign w:val="center"/>
          </w:tcPr>
          <w:p>
            <w:pPr>
              <w:pStyle w:val="TableContents"/>
              <w:bidi w:val="0"/>
              <w:spacing w:before="0" w:after="0"/>
              <w:jc w:val="left"/>
              <w:rPr>
                <w:color w:val="000000"/>
              </w:rPr>
            </w:pPr>
            <w:r>
              <w:rPr>
                <w:color w:val="000000"/>
              </w:rPr>
              <w:t>Japan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B-3</w:t>
      </w:r>
    </w:p>
    <w:p>
      <w:pPr>
        <w:pStyle w:val="HorizontalLine"/>
        <w:pBdr>
          <w:bottom w:val="single" w:sz="12" w:space="0" w:color="808080"/>
        </w:pBdr>
        <w:bidi w:val="0"/>
        <w:spacing w:before="200" w:after="200"/>
        <w:jc w:val="left"/>
        <w:rPr/>
      </w:pPr>
      <w:r>
        <w:rPr/>
      </w:r>
    </w:p>
    <w:tbl>
      <w:tblPr>
        <w:tblW w:w="14490" w:type="dxa"/>
        <w:jc w:val="left"/>
        <w:tblInd w:w="0" w:type="dxa"/>
        <w:tblLayout w:type="fixed"/>
        <w:tblCellMar>
          <w:top w:w="0" w:type="dxa"/>
          <w:left w:w="0" w:type="dxa"/>
          <w:bottom w:w="0" w:type="dxa"/>
          <w:right w:w="0" w:type="dxa"/>
        </w:tblCellMar>
      </w:tblPr>
      <w:tblGrid>
        <w:gridCol w:w="920"/>
        <w:gridCol w:w="10160"/>
        <w:gridCol w:w="3410"/>
      </w:tblGrid>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EM Vinto</w:t>
            </w:r>
          </w:p>
        </w:tc>
        <w:tc>
          <w:tcPr>
            <w:tcW w:w="3410" w:type="dxa"/>
            <w:tcBorders/>
            <w:vAlign w:val="center"/>
          </w:tcPr>
          <w:p>
            <w:pPr>
              <w:pStyle w:val="TableContents"/>
              <w:bidi w:val="0"/>
              <w:spacing w:before="0" w:after="0"/>
              <w:jc w:val="left"/>
              <w:rPr>
                <w:color w:val="000000"/>
              </w:rPr>
            </w:pPr>
            <w:r>
              <w:rPr>
                <w:color w:val="000000"/>
              </w:rPr>
              <w:t>Bolivia (Plurinational State of)</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Estanho de Rondonia S.A.</w:t>
            </w:r>
          </w:p>
        </w:tc>
        <w:tc>
          <w:tcPr>
            <w:tcW w:w="3410" w:type="dxa"/>
            <w:tcBorders/>
            <w:vAlign w:val="center"/>
          </w:tcPr>
          <w:p>
            <w:pPr>
              <w:pStyle w:val="TableContents"/>
              <w:bidi w:val="0"/>
              <w:spacing w:before="0" w:after="0"/>
              <w:jc w:val="left"/>
              <w:rPr>
                <w:color w:val="000000"/>
              </w:rPr>
            </w:pPr>
            <w:r>
              <w:rPr>
                <w:color w:val="000000"/>
              </w:rPr>
              <w:t>Brazil</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Fenix Metals</w:t>
            </w:r>
          </w:p>
        </w:tc>
        <w:tc>
          <w:tcPr>
            <w:tcW w:w="3410" w:type="dxa"/>
            <w:tcBorders/>
            <w:vAlign w:val="center"/>
          </w:tcPr>
          <w:p>
            <w:pPr>
              <w:pStyle w:val="TableContents"/>
              <w:bidi w:val="0"/>
              <w:spacing w:before="0" w:after="0"/>
              <w:jc w:val="left"/>
              <w:rPr>
                <w:color w:val="000000"/>
              </w:rPr>
            </w:pPr>
            <w:r>
              <w:rPr>
                <w:color w:val="000000"/>
              </w:rPr>
              <w:t>Poland</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Gejiu Non-Ferrous Metal Processing Co., Ltd.</w:t>
            </w:r>
          </w:p>
        </w:tc>
        <w:tc>
          <w:tcPr>
            <w:tcW w:w="341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Global Advanced Metals Greenbushes Pty Ltd.</w:t>
            </w:r>
          </w:p>
        </w:tc>
        <w:tc>
          <w:tcPr>
            <w:tcW w:w="3410" w:type="dxa"/>
            <w:tcBorders/>
            <w:vAlign w:val="center"/>
          </w:tcPr>
          <w:p>
            <w:pPr>
              <w:pStyle w:val="TableContents"/>
              <w:bidi w:val="0"/>
              <w:spacing w:before="0" w:after="0"/>
              <w:jc w:val="left"/>
              <w:rPr>
                <w:color w:val="000000"/>
              </w:rPr>
            </w:pPr>
            <w:r>
              <w:rPr>
                <w:color w:val="000000"/>
              </w:rPr>
              <w:t>Australia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Guangdong Hanhe Non-Ferrous Metal Co., Ltd.</w:t>
            </w:r>
          </w:p>
        </w:tc>
        <w:tc>
          <w:tcPr>
            <w:tcW w:w="341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Luna Smelter, Ltd.</w:t>
            </w:r>
          </w:p>
        </w:tc>
        <w:tc>
          <w:tcPr>
            <w:tcW w:w="3410" w:type="dxa"/>
            <w:tcBorders/>
            <w:vAlign w:val="center"/>
          </w:tcPr>
          <w:p>
            <w:pPr>
              <w:pStyle w:val="TableContents"/>
              <w:bidi w:val="0"/>
              <w:spacing w:before="0" w:after="0"/>
              <w:jc w:val="left"/>
              <w:rPr>
                <w:color w:val="000000"/>
              </w:rPr>
            </w:pPr>
            <w:r>
              <w:rPr>
                <w:color w:val="000000"/>
              </w:rPr>
              <w:t>Rwanda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Magnu's Minerais Metais e Ligas Ltda.</w:t>
            </w:r>
          </w:p>
        </w:tc>
        <w:tc>
          <w:tcPr>
            <w:tcW w:w="3410" w:type="dxa"/>
            <w:tcBorders/>
            <w:vAlign w:val="center"/>
          </w:tcPr>
          <w:p>
            <w:pPr>
              <w:pStyle w:val="TableContents"/>
              <w:bidi w:val="0"/>
              <w:spacing w:before="0" w:after="0"/>
              <w:jc w:val="left"/>
              <w:rPr>
                <w:color w:val="000000"/>
              </w:rPr>
            </w:pPr>
            <w:r>
              <w:rPr>
                <w:color w:val="000000"/>
              </w:rPr>
              <w:t>Brazil</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Malaysia Smelting Corporation (MSC)</w:t>
            </w:r>
          </w:p>
        </w:tc>
        <w:tc>
          <w:tcPr>
            <w:tcW w:w="3410" w:type="dxa"/>
            <w:tcBorders/>
            <w:vAlign w:val="center"/>
          </w:tcPr>
          <w:p>
            <w:pPr>
              <w:pStyle w:val="TableContents"/>
              <w:bidi w:val="0"/>
              <w:spacing w:before="0" w:after="0"/>
              <w:jc w:val="left"/>
              <w:rPr>
                <w:color w:val="000000"/>
              </w:rPr>
            </w:pPr>
            <w:r>
              <w:rPr>
                <w:color w:val="000000"/>
              </w:rPr>
              <w:t>Malaysia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Malaysia Smelting Corporation Berhad (Port Klang)</w:t>
            </w:r>
          </w:p>
        </w:tc>
        <w:tc>
          <w:tcPr>
            <w:tcW w:w="3410" w:type="dxa"/>
            <w:tcBorders/>
            <w:vAlign w:val="center"/>
          </w:tcPr>
          <w:p>
            <w:pPr>
              <w:pStyle w:val="TableContents"/>
              <w:bidi w:val="0"/>
              <w:spacing w:before="0" w:after="0"/>
              <w:jc w:val="left"/>
              <w:rPr>
                <w:color w:val="000000"/>
              </w:rPr>
            </w:pPr>
            <w:r>
              <w:rPr>
                <w:color w:val="000000"/>
              </w:rPr>
              <w:t>Malaysia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Metallic Resources, Inc.</w:t>
            </w:r>
          </w:p>
        </w:tc>
        <w:tc>
          <w:tcPr>
            <w:tcW w:w="3410" w:type="dxa"/>
            <w:tcBorders/>
            <w:vAlign w:val="center"/>
          </w:tcPr>
          <w:p>
            <w:pPr>
              <w:pStyle w:val="TableContents"/>
              <w:bidi w:val="0"/>
              <w:spacing w:before="0" w:after="0"/>
              <w:jc w:val="left"/>
              <w:rPr>
                <w:color w:val="000000"/>
              </w:rPr>
            </w:pPr>
            <w:r>
              <w:rPr>
                <w:color w:val="000000"/>
              </w:rPr>
              <w:t>United States of America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Mineracao Taboca S.A.</w:t>
            </w:r>
          </w:p>
        </w:tc>
        <w:tc>
          <w:tcPr>
            <w:tcW w:w="3410" w:type="dxa"/>
            <w:tcBorders/>
            <w:vAlign w:val="center"/>
          </w:tcPr>
          <w:p>
            <w:pPr>
              <w:pStyle w:val="TableContents"/>
              <w:bidi w:val="0"/>
              <w:spacing w:before="0" w:after="0"/>
              <w:jc w:val="left"/>
              <w:rPr>
                <w:color w:val="000000"/>
              </w:rPr>
            </w:pPr>
            <w:r>
              <w:rPr>
                <w:color w:val="000000"/>
              </w:rPr>
              <w:t>Brazil</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Mining Minerals Resources SARL</w:t>
            </w:r>
          </w:p>
        </w:tc>
        <w:tc>
          <w:tcPr>
            <w:tcW w:w="3410" w:type="dxa"/>
            <w:tcBorders/>
            <w:vAlign w:val="center"/>
          </w:tcPr>
          <w:p>
            <w:pPr>
              <w:pStyle w:val="TableContents"/>
              <w:bidi w:val="0"/>
              <w:spacing w:before="0" w:after="0"/>
              <w:jc w:val="left"/>
              <w:rPr>
                <w:color w:val="000000"/>
              </w:rPr>
            </w:pPr>
            <w:r>
              <w:rPr>
                <w:color w:val="000000"/>
              </w:rPr>
              <w:t>Congo, Democratic Republic of the</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Minsur</w:t>
            </w:r>
          </w:p>
        </w:tc>
        <w:tc>
          <w:tcPr>
            <w:tcW w:w="3410" w:type="dxa"/>
            <w:tcBorders/>
            <w:vAlign w:val="center"/>
          </w:tcPr>
          <w:p>
            <w:pPr>
              <w:pStyle w:val="TableContents"/>
              <w:bidi w:val="0"/>
              <w:spacing w:before="0" w:after="0"/>
              <w:jc w:val="left"/>
              <w:rPr>
                <w:color w:val="000000"/>
              </w:rPr>
            </w:pPr>
            <w:r>
              <w:rPr>
                <w:color w:val="000000"/>
              </w:rPr>
              <w:t>Peru</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Mitsubishi Materials Corporation</w:t>
            </w:r>
          </w:p>
        </w:tc>
        <w:tc>
          <w:tcPr>
            <w:tcW w:w="3410" w:type="dxa"/>
            <w:tcBorders/>
            <w:vAlign w:val="center"/>
          </w:tcPr>
          <w:p>
            <w:pPr>
              <w:pStyle w:val="TableContents"/>
              <w:bidi w:val="0"/>
              <w:spacing w:before="0" w:after="0"/>
              <w:jc w:val="left"/>
              <w:rPr>
                <w:color w:val="000000"/>
              </w:rPr>
            </w:pPr>
            <w:r>
              <w:rPr>
                <w:color w:val="000000"/>
              </w:rPr>
              <w:t>Japan</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O.M. Manufacturing (Thailand) Co., Ltd.</w:t>
            </w:r>
          </w:p>
        </w:tc>
        <w:tc>
          <w:tcPr>
            <w:tcW w:w="3410" w:type="dxa"/>
            <w:tcBorders/>
            <w:vAlign w:val="center"/>
          </w:tcPr>
          <w:p>
            <w:pPr>
              <w:pStyle w:val="TableContents"/>
              <w:bidi w:val="0"/>
              <w:spacing w:before="0" w:after="0"/>
              <w:jc w:val="left"/>
              <w:rPr>
                <w:color w:val="000000"/>
              </w:rPr>
            </w:pPr>
            <w:r>
              <w:rPr>
                <w:color w:val="000000"/>
              </w:rPr>
              <w:t>Thailand</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O.M. Manufacturing Philippines, Inc.</w:t>
            </w:r>
          </w:p>
        </w:tc>
        <w:tc>
          <w:tcPr>
            <w:tcW w:w="3410" w:type="dxa"/>
            <w:tcBorders/>
            <w:vAlign w:val="center"/>
          </w:tcPr>
          <w:p>
            <w:pPr>
              <w:pStyle w:val="TableContents"/>
              <w:bidi w:val="0"/>
              <w:spacing w:before="0" w:after="0"/>
              <w:jc w:val="left"/>
              <w:rPr>
                <w:color w:val="000000"/>
              </w:rPr>
            </w:pPr>
            <w:r>
              <w:rPr>
                <w:color w:val="000000"/>
              </w:rPr>
              <w:t>Philippines</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Operaciones Metalurgicas S.A.</w:t>
            </w:r>
          </w:p>
        </w:tc>
        <w:tc>
          <w:tcPr>
            <w:tcW w:w="3410" w:type="dxa"/>
            <w:tcBorders/>
            <w:vAlign w:val="center"/>
          </w:tcPr>
          <w:p>
            <w:pPr>
              <w:pStyle w:val="TableContents"/>
              <w:bidi w:val="0"/>
              <w:spacing w:before="0" w:after="0"/>
              <w:jc w:val="left"/>
              <w:rPr>
                <w:color w:val="000000"/>
              </w:rPr>
            </w:pPr>
            <w:r>
              <w:rPr>
                <w:color w:val="000000"/>
              </w:rPr>
              <w:t>Bolivia (Plurinational State of)</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ATD Makmur Mandiri Jaya</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Cipta Persada Mulia</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Mitra Stania Prima</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Mitra Sukses Globalindo</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Prima Timah Utama</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Putera Sarana Shakti (PT PSS)</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Rajehan Ariq</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Timah Tbk Kundur</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PT Timah Tbk Mentok</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Resind Industria e Comercio Ltda.</w:t>
            </w:r>
          </w:p>
        </w:tc>
        <w:tc>
          <w:tcPr>
            <w:tcW w:w="3410" w:type="dxa"/>
            <w:tcBorders/>
            <w:vAlign w:val="center"/>
          </w:tcPr>
          <w:p>
            <w:pPr>
              <w:pStyle w:val="TableContents"/>
              <w:bidi w:val="0"/>
              <w:spacing w:before="0" w:after="0"/>
              <w:jc w:val="left"/>
              <w:rPr>
                <w:color w:val="000000"/>
              </w:rPr>
            </w:pPr>
            <w:r>
              <w:rPr>
                <w:color w:val="000000"/>
              </w:rPr>
              <w:t>Brazil</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Rui Da Hung</w:t>
            </w:r>
          </w:p>
        </w:tc>
        <w:tc>
          <w:tcPr>
            <w:tcW w:w="3410" w:type="dxa"/>
            <w:tcBorders/>
            <w:vAlign w:val="center"/>
          </w:tcPr>
          <w:p>
            <w:pPr>
              <w:pStyle w:val="TableContents"/>
              <w:bidi w:val="0"/>
              <w:spacing w:before="0" w:after="0"/>
              <w:jc w:val="left"/>
              <w:rPr>
                <w:color w:val="000000"/>
              </w:rPr>
            </w:pPr>
            <w:r>
              <w:rPr>
                <w:color w:val="000000"/>
              </w:rPr>
              <w:t>Taiwan, Province of China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Smelter not listed</w:t>
            </w:r>
          </w:p>
        </w:tc>
        <w:tc>
          <w:tcPr>
            <w:tcW w:w="3410" w:type="dxa"/>
            <w:tcBorders/>
            <w:vAlign w:val="center"/>
          </w:tcPr>
          <w:p>
            <w:pPr>
              <w:pStyle w:val="TableContents"/>
              <w:bidi w:val="0"/>
              <w:spacing w:before="0" w:after="0"/>
              <w:jc w:val="left"/>
              <w:rPr>
                <w:color w:val="000000"/>
              </w:rPr>
            </w:pPr>
            <w:r>
              <w:rPr>
                <w:color w:val="000000"/>
              </w:rPr>
              <w:t>Indonesia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Smelter not listed</w:t>
            </w:r>
          </w:p>
        </w:tc>
        <w:tc>
          <w:tcPr>
            <w:tcW w:w="3410" w:type="dxa"/>
            <w:tcBorders/>
            <w:vAlign w:val="center"/>
          </w:tcPr>
          <w:p>
            <w:pPr>
              <w:pStyle w:val="TableContents"/>
              <w:bidi w:val="0"/>
              <w:spacing w:before="0" w:after="0"/>
              <w:jc w:val="left"/>
              <w:rPr>
                <w:color w:val="000000"/>
              </w:rPr>
            </w:pPr>
            <w:r>
              <w:rPr>
                <w:color w:val="000000"/>
              </w:rPr>
              <w:t>Germany</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Smelter not listed</w:t>
            </w:r>
          </w:p>
        </w:tc>
        <w:tc>
          <w:tcPr>
            <w:tcW w:w="3410" w:type="dxa"/>
            <w:tcBorders/>
            <w:vAlign w:val="center"/>
          </w:tcPr>
          <w:p>
            <w:pPr>
              <w:pStyle w:val="TableContents"/>
              <w:bidi w:val="0"/>
              <w:spacing w:before="0" w:after="0"/>
              <w:jc w:val="left"/>
              <w:rPr>
                <w:color w:val="000000"/>
              </w:rPr>
            </w:pPr>
            <w:r>
              <w:rPr>
                <w:color w:val="000000"/>
              </w:rPr>
              <w:t>Brazil</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Super Ligas</w:t>
            </w:r>
          </w:p>
        </w:tc>
        <w:tc>
          <w:tcPr>
            <w:tcW w:w="3410" w:type="dxa"/>
            <w:tcBorders/>
            <w:vAlign w:val="center"/>
          </w:tcPr>
          <w:p>
            <w:pPr>
              <w:pStyle w:val="TableContents"/>
              <w:bidi w:val="0"/>
              <w:spacing w:before="0" w:after="0"/>
              <w:jc w:val="left"/>
              <w:rPr>
                <w:color w:val="000000"/>
              </w:rPr>
            </w:pPr>
            <w:r>
              <w:rPr>
                <w:color w:val="000000"/>
              </w:rPr>
              <w:t>Brazil</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Takehara PVD Materials Plant / PVD Materials Division of MITSUI MINING &amp; SMELTING CO., LTD.</w:t>
            </w:r>
          </w:p>
        </w:tc>
        <w:tc>
          <w:tcPr>
            <w:tcW w:w="3410" w:type="dxa"/>
            <w:tcBorders/>
            <w:vAlign w:val="center"/>
          </w:tcPr>
          <w:p>
            <w:pPr>
              <w:pStyle w:val="TableContents"/>
              <w:bidi w:val="0"/>
              <w:spacing w:before="0" w:after="0"/>
              <w:jc w:val="left"/>
              <w:rPr>
                <w:color w:val="000000"/>
              </w:rPr>
            </w:pPr>
            <w:r>
              <w:rPr>
                <w:color w:val="000000"/>
              </w:rPr>
              <w:t>Japan</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Thaisarco</w:t>
            </w:r>
          </w:p>
        </w:tc>
        <w:tc>
          <w:tcPr>
            <w:tcW w:w="3410" w:type="dxa"/>
            <w:tcBorders/>
            <w:vAlign w:val="center"/>
          </w:tcPr>
          <w:p>
            <w:pPr>
              <w:pStyle w:val="TableContents"/>
              <w:bidi w:val="0"/>
              <w:spacing w:before="0" w:after="0"/>
              <w:jc w:val="left"/>
              <w:rPr>
                <w:color w:val="000000"/>
              </w:rPr>
            </w:pPr>
            <w:r>
              <w:rPr>
                <w:color w:val="000000"/>
              </w:rPr>
              <w:t>Thailand</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Tin Smelting Branch of Yunnan Tin Co., Ltd.</w:t>
            </w:r>
          </w:p>
        </w:tc>
        <w:tc>
          <w:tcPr>
            <w:tcW w:w="341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Tin Technology &amp; Refining</w:t>
            </w:r>
          </w:p>
        </w:tc>
        <w:tc>
          <w:tcPr>
            <w:tcW w:w="3410" w:type="dxa"/>
            <w:tcBorders/>
            <w:vAlign w:val="center"/>
          </w:tcPr>
          <w:p>
            <w:pPr>
              <w:pStyle w:val="TableContents"/>
              <w:bidi w:val="0"/>
              <w:spacing w:before="0" w:after="0"/>
              <w:jc w:val="left"/>
              <w:rPr>
                <w:color w:val="000000"/>
              </w:rPr>
            </w:pPr>
            <w:r>
              <w:rPr>
                <w:color w:val="000000"/>
              </w:rPr>
              <w:t>United States of America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White Solder Metalurgia e Mineracao Ltda.</w:t>
            </w:r>
          </w:p>
        </w:tc>
        <w:tc>
          <w:tcPr>
            <w:tcW w:w="3410" w:type="dxa"/>
            <w:tcBorders/>
            <w:vAlign w:val="center"/>
          </w:tcPr>
          <w:p>
            <w:pPr>
              <w:pStyle w:val="TableContents"/>
              <w:bidi w:val="0"/>
              <w:spacing w:before="0" w:after="0"/>
              <w:jc w:val="left"/>
              <w:rPr>
                <w:color w:val="000000"/>
              </w:rPr>
            </w:pPr>
            <w:r>
              <w:rPr>
                <w:color w:val="000000"/>
              </w:rPr>
              <w:t>Brazil</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Woodcross Smelting Company Limited</w:t>
            </w:r>
          </w:p>
        </w:tc>
        <w:tc>
          <w:tcPr>
            <w:tcW w:w="3410" w:type="dxa"/>
            <w:tcBorders/>
            <w:vAlign w:val="center"/>
          </w:tcPr>
          <w:p>
            <w:pPr>
              <w:pStyle w:val="TableContents"/>
              <w:bidi w:val="0"/>
              <w:spacing w:before="0" w:after="0"/>
              <w:jc w:val="left"/>
              <w:rPr>
                <w:color w:val="000000"/>
              </w:rPr>
            </w:pPr>
            <w:r>
              <w:rPr>
                <w:color w:val="000000"/>
              </w:rPr>
              <w:t>Uganda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Yunnan Chengfeng Non-ferrous Metals Co., Ltd.</w:t>
            </w:r>
          </w:p>
        </w:tc>
        <w:tc>
          <w:tcPr>
            <w:tcW w:w="341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Tin</w:t>
            </w:r>
          </w:p>
        </w:tc>
        <w:tc>
          <w:tcPr>
            <w:tcW w:w="10160" w:type="dxa"/>
            <w:tcBorders/>
            <w:vAlign w:val="center"/>
          </w:tcPr>
          <w:p>
            <w:pPr>
              <w:pStyle w:val="TableContents"/>
              <w:bidi w:val="0"/>
              <w:spacing w:before="0" w:after="0"/>
              <w:jc w:val="left"/>
              <w:rPr>
                <w:color w:val="000000"/>
              </w:rPr>
            </w:pPr>
            <w:r>
              <w:rPr>
                <w:color w:val="000000"/>
              </w:rPr>
              <w:t>Yunnan Yunfan Non-ferrous Metals Co., Ltd.</w:t>
            </w:r>
          </w:p>
        </w:tc>
        <w:tc>
          <w:tcPr>
            <w:tcW w:w="341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10160" w:type="dxa"/>
            <w:tcBorders/>
            <w:vAlign w:val="center"/>
          </w:tcPr>
          <w:p>
            <w:pPr>
              <w:pStyle w:val="TableContents"/>
              <w:bidi w:val="0"/>
              <w:spacing w:before="0" w:after="0"/>
              <w:jc w:val="left"/>
              <w:rPr>
                <w:color w:val="000000"/>
              </w:rPr>
            </w:pPr>
            <w:r>
              <w:rPr>
                <w:color w:val="000000"/>
              </w:rPr>
              <w:t>A.L.M.T. Corp.</w:t>
            </w:r>
          </w:p>
        </w:tc>
        <w:tc>
          <w:tcPr>
            <w:tcW w:w="3410" w:type="dxa"/>
            <w:tcBorders/>
            <w:vAlign w:val="center"/>
          </w:tcPr>
          <w:p>
            <w:pPr>
              <w:pStyle w:val="TableContents"/>
              <w:bidi w:val="0"/>
              <w:spacing w:before="0" w:after="0"/>
              <w:jc w:val="left"/>
              <w:rPr>
                <w:color w:val="000000"/>
              </w:rPr>
            </w:pPr>
            <w:r>
              <w:rPr>
                <w:color w:val="000000"/>
              </w:rPr>
              <w:t>Japan</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10160" w:type="dxa"/>
            <w:tcBorders/>
            <w:vAlign w:val="center"/>
          </w:tcPr>
          <w:p>
            <w:pPr>
              <w:pStyle w:val="TableContents"/>
              <w:bidi w:val="0"/>
              <w:spacing w:before="0" w:after="0"/>
              <w:jc w:val="left"/>
              <w:rPr>
                <w:color w:val="000000"/>
              </w:rPr>
            </w:pPr>
            <w:r>
              <w:rPr>
                <w:color w:val="000000"/>
              </w:rPr>
              <w:t>Asia Tungsten Products Vietnam Ltd.</w:t>
            </w:r>
          </w:p>
        </w:tc>
        <w:tc>
          <w:tcPr>
            <w:tcW w:w="3410" w:type="dxa"/>
            <w:tcBorders/>
            <w:vAlign w:val="center"/>
          </w:tcPr>
          <w:p>
            <w:pPr>
              <w:pStyle w:val="TableContents"/>
              <w:bidi w:val="0"/>
              <w:spacing w:before="0" w:after="0"/>
              <w:jc w:val="left"/>
              <w:rPr>
                <w:color w:val="000000"/>
              </w:rPr>
            </w:pPr>
            <w:r>
              <w:rPr>
                <w:color w:val="000000"/>
              </w:rPr>
              <w:t>Vietnam</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10160" w:type="dxa"/>
            <w:tcBorders/>
            <w:vAlign w:val="center"/>
          </w:tcPr>
          <w:p>
            <w:pPr>
              <w:pStyle w:val="TableContents"/>
              <w:bidi w:val="0"/>
              <w:spacing w:before="0" w:after="0"/>
              <w:jc w:val="left"/>
              <w:rPr>
                <w:color w:val="000000"/>
              </w:rPr>
            </w:pPr>
            <w:r>
              <w:rPr>
                <w:color w:val="000000"/>
              </w:rPr>
              <w:t>China Molybdenum Tungsten Co., Ltd.</w:t>
            </w:r>
          </w:p>
        </w:tc>
        <w:tc>
          <w:tcPr>
            <w:tcW w:w="341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10160" w:type="dxa"/>
            <w:tcBorders/>
            <w:vAlign w:val="center"/>
          </w:tcPr>
          <w:p>
            <w:pPr>
              <w:pStyle w:val="TableContents"/>
              <w:bidi w:val="0"/>
              <w:spacing w:before="0" w:after="0"/>
              <w:jc w:val="left"/>
              <w:rPr>
                <w:color w:val="000000"/>
              </w:rPr>
            </w:pPr>
            <w:r>
              <w:rPr>
                <w:color w:val="000000"/>
              </w:rPr>
              <w:t>Chongyi Zhangyuan Tungsten Co., Ltd.</w:t>
            </w:r>
          </w:p>
        </w:tc>
        <w:tc>
          <w:tcPr>
            <w:tcW w:w="3410" w:type="dxa"/>
            <w:tcBorders/>
            <w:vAlign w:val="center"/>
          </w:tcPr>
          <w:p>
            <w:pPr>
              <w:pStyle w:val="TableContents"/>
              <w:bidi w:val="0"/>
              <w:spacing w:before="0" w:after="0"/>
              <w:jc w:val="left"/>
              <w:rPr>
                <w:color w:val="000000"/>
              </w:rPr>
            </w:pPr>
            <w:r>
              <w:rPr>
                <w:color w:val="000000"/>
              </w:rPr>
              <w:t>China</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B-4</w:t>
      </w:r>
    </w:p>
    <w:p>
      <w:pPr>
        <w:pStyle w:val="HorizontalLine"/>
        <w:pBdr>
          <w:bottom w:val="single" w:sz="12" w:space="0" w:color="808080"/>
        </w:pBdr>
        <w:bidi w:val="0"/>
        <w:spacing w:before="200" w:after="200"/>
        <w:jc w:val="left"/>
        <w:rPr/>
      </w:pPr>
      <w:r>
        <w:rPr/>
      </w:r>
    </w:p>
    <w:tbl>
      <w:tblPr>
        <w:tblW w:w="9660" w:type="dxa"/>
        <w:jc w:val="left"/>
        <w:tblInd w:w="0" w:type="dxa"/>
        <w:tblLayout w:type="fixed"/>
        <w:tblCellMar>
          <w:top w:w="0" w:type="dxa"/>
          <w:left w:w="0" w:type="dxa"/>
          <w:bottom w:w="0" w:type="dxa"/>
          <w:right w:w="0" w:type="dxa"/>
        </w:tblCellMar>
      </w:tblPr>
      <w:tblGrid>
        <w:gridCol w:w="920"/>
        <w:gridCol w:w="6140"/>
        <w:gridCol w:w="2600"/>
      </w:tblGrid>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Cronimet Brasil Ltda</w:t>
            </w:r>
          </w:p>
        </w:tc>
        <w:tc>
          <w:tcPr>
            <w:tcW w:w="2600" w:type="dxa"/>
            <w:tcBorders/>
            <w:vAlign w:val="center"/>
          </w:tcPr>
          <w:p>
            <w:pPr>
              <w:pStyle w:val="TableContents"/>
              <w:bidi w:val="0"/>
              <w:spacing w:before="0" w:after="0"/>
              <w:jc w:val="left"/>
              <w:rPr>
                <w:color w:val="000000"/>
              </w:rPr>
            </w:pPr>
            <w:r>
              <w:rPr>
                <w:color w:val="000000"/>
              </w:rPr>
              <w:t>Brazil</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Fujian Xinlu Tungsten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Ganzhou Jiangwu Ferrotungsten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Ganzhou Seadragon W &amp; Mo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Global Tungsten &amp; Powders LLC</w:t>
            </w:r>
          </w:p>
        </w:tc>
        <w:tc>
          <w:tcPr>
            <w:tcW w:w="2600" w:type="dxa"/>
            <w:tcBorders/>
            <w:vAlign w:val="center"/>
          </w:tcPr>
          <w:p>
            <w:pPr>
              <w:pStyle w:val="TableContents"/>
              <w:bidi w:val="0"/>
              <w:spacing w:before="0" w:after="0"/>
              <w:jc w:val="left"/>
              <w:rPr>
                <w:color w:val="000000"/>
              </w:rPr>
            </w:pPr>
            <w:r>
              <w:rPr>
                <w:color w:val="000000"/>
              </w:rPr>
              <w:t>United States of America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Guangdong Xianglu Tungsten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H.C. Starck Tungsten GmbH</w:t>
            </w:r>
          </w:p>
        </w:tc>
        <w:tc>
          <w:tcPr>
            <w:tcW w:w="2600" w:type="dxa"/>
            <w:tcBorders/>
            <w:vAlign w:val="center"/>
          </w:tcPr>
          <w:p>
            <w:pPr>
              <w:pStyle w:val="TableContents"/>
              <w:bidi w:val="0"/>
              <w:spacing w:before="0" w:after="0"/>
              <w:jc w:val="left"/>
              <w:rPr>
                <w:color w:val="000000"/>
              </w:rPr>
            </w:pPr>
            <w:r>
              <w:rPr>
                <w:color w:val="000000"/>
              </w:rPr>
              <w:t>Germany</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Hubei Green Tungsten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Japan New Metals Co., Ltd.</w:t>
            </w:r>
          </w:p>
        </w:tc>
        <w:tc>
          <w:tcPr>
            <w:tcW w:w="2600" w:type="dxa"/>
            <w:tcBorders/>
            <w:vAlign w:val="center"/>
          </w:tcPr>
          <w:p>
            <w:pPr>
              <w:pStyle w:val="TableContents"/>
              <w:bidi w:val="0"/>
              <w:spacing w:before="0" w:after="0"/>
              <w:jc w:val="left"/>
              <w:rPr>
                <w:color w:val="000000"/>
              </w:rPr>
            </w:pPr>
            <w:r>
              <w:rPr>
                <w:color w:val="000000"/>
              </w:rPr>
              <w:t>Japan</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Jiangwu H.C. Starck Tungsten Products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Jiangxi Gan Bei Tungsten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Jiangxi Tonggu Non-ferrous Metallurgical &amp; Chemical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Jiangxi Xinsheng Tungsten Industry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Jiangxi Yaosheng Tungsten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KENEE MINING VIETNAM COMPANY LIMITED</w:t>
            </w:r>
          </w:p>
        </w:tc>
        <w:tc>
          <w:tcPr>
            <w:tcW w:w="2600" w:type="dxa"/>
            <w:tcBorders/>
            <w:vAlign w:val="center"/>
          </w:tcPr>
          <w:p>
            <w:pPr>
              <w:pStyle w:val="TableContents"/>
              <w:bidi w:val="0"/>
              <w:spacing w:before="0" w:after="0"/>
              <w:jc w:val="left"/>
              <w:rPr>
                <w:color w:val="000000"/>
              </w:rPr>
            </w:pPr>
            <w:r>
              <w:rPr>
                <w:color w:val="000000"/>
              </w:rPr>
              <w:t>Vietnam</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Kennametal Fallon</w:t>
            </w:r>
          </w:p>
        </w:tc>
        <w:tc>
          <w:tcPr>
            <w:tcW w:w="2600" w:type="dxa"/>
            <w:tcBorders/>
            <w:vAlign w:val="center"/>
          </w:tcPr>
          <w:p>
            <w:pPr>
              <w:pStyle w:val="TableContents"/>
              <w:bidi w:val="0"/>
              <w:spacing w:before="0" w:after="0"/>
              <w:jc w:val="left"/>
              <w:rPr>
                <w:color w:val="000000"/>
              </w:rPr>
            </w:pPr>
            <w:r>
              <w:rPr>
                <w:color w:val="000000"/>
              </w:rPr>
              <w:t>United States of America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Kennametal Huntsville</w:t>
            </w:r>
          </w:p>
        </w:tc>
        <w:tc>
          <w:tcPr>
            <w:tcW w:w="2600" w:type="dxa"/>
            <w:tcBorders/>
            <w:vAlign w:val="center"/>
          </w:tcPr>
          <w:p>
            <w:pPr>
              <w:pStyle w:val="TableContents"/>
              <w:bidi w:val="0"/>
              <w:spacing w:before="0" w:after="0"/>
              <w:jc w:val="left"/>
              <w:rPr>
                <w:color w:val="000000"/>
              </w:rPr>
            </w:pPr>
            <w:r>
              <w:rPr>
                <w:color w:val="000000"/>
              </w:rPr>
              <w:t>United States of America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Lianyou Metals Co., Ltd.</w:t>
            </w:r>
          </w:p>
        </w:tc>
        <w:tc>
          <w:tcPr>
            <w:tcW w:w="2600" w:type="dxa"/>
            <w:tcBorders/>
            <w:vAlign w:val="center"/>
          </w:tcPr>
          <w:p>
            <w:pPr>
              <w:pStyle w:val="TableContents"/>
              <w:bidi w:val="0"/>
              <w:spacing w:before="0" w:after="0"/>
              <w:jc w:val="left"/>
              <w:rPr>
                <w:color w:val="000000"/>
              </w:rPr>
            </w:pPr>
            <w:r>
              <w:rPr>
                <w:color w:val="000000"/>
              </w:rPr>
              <w:t>Taiwan, Province of 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Lianyou Resources Co., Ltd.</w:t>
            </w:r>
          </w:p>
        </w:tc>
        <w:tc>
          <w:tcPr>
            <w:tcW w:w="2600" w:type="dxa"/>
            <w:tcBorders/>
            <w:vAlign w:val="center"/>
          </w:tcPr>
          <w:p>
            <w:pPr>
              <w:pStyle w:val="TableContents"/>
              <w:bidi w:val="0"/>
              <w:spacing w:before="0" w:after="0"/>
              <w:jc w:val="left"/>
              <w:rPr>
                <w:color w:val="000000"/>
              </w:rPr>
            </w:pPr>
            <w:r>
              <w:rPr>
                <w:color w:val="000000"/>
              </w:rPr>
              <w:t>Taiwan, Province of 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Malipo Haiyu Tungsten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Masan High-Tech Materials</w:t>
            </w:r>
          </w:p>
        </w:tc>
        <w:tc>
          <w:tcPr>
            <w:tcW w:w="2600" w:type="dxa"/>
            <w:tcBorders/>
            <w:vAlign w:val="center"/>
          </w:tcPr>
          <w:p>
            <w:pPr>
              <w:pStyle w:val="TableContents"/>
              <w:bidi w:val="0"/>
              <w:spacing w:before="0" w:after="0"/>
              <w:jc w:val="left"/>
              <w:rPr>
                <w:color w:val="000000"/>
              </w:rPr>
            </w:pPr>
            <w:r>
              <w:rPr>
                <w:color w:val="000000"/>
              </w:rPr>
              <w:t>Vietnam</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Niagara Refining LLC</w:t>
            </w:r>
          </w:p>
        </w:tc>
        <w:tc>
          <w:tcPr>
            <w:tcW w:w="2600" w:type="dxa"/>
            <w:tcBorders/>
            <w:vAlign w:val="center"/>
          </w:tcPr>
          <w:p>
            <w:pPr>
              <w:pStyle w:val="TableContents"/>
              <w:bidi w:val="0"/>
              <w:spacing w:before="0" w:after="0"/>
              <w:jc w:val="left"/>
              <w:rPr>
                <w:color w:val="000000"/>
              </w:rPr>
            </w:pPr>
            <w:r>
              <w:rPr>
                <w:color w:val="000000"/>
              </w:rPr>
              <w:t>United States of America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Shinwon Tungsten (Fujian Shanghang)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TANIOBIS Smelting GmbH &amp; Co. KG</w:t>
            </w:r>
          </w:p>
        </w:tc>
        <w:tc>
          <w:tcPr>
            <w:tcW w:w="2600" w:type="dxa"/>
            <w:tcBorders/>
            <w:vAlign w:val="center"/>
          </w:tcPr>
          <w:p>
            <w:pPr>
              <w:pStyle w:val="TableContents"/>
              <w:bidi w:val="0"/>
              <w:spacing w:before="0" w:after="0"/>
              <w:jc w:val="left"/>
              <w:rPr>
                <w:color w:val="000000"/>
              </w:rPr>
            </w:pPr>
            <w:r>
              <w:rPr>
                <w:color w:val="000000"/>
              </w:rPr>
              <w:t>Germany</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Tungsten Vietnam Joint Stock Company</w:t>
            </w:r>
          </w:p>
        </w:tc>
        <w:tc>
          <w:tcPr>
            <w:tcW w:w="2600" w:type="dxa"/>
            <w:tcBorders/>
            <w:vAlign w:val="center"/>
          </w:tcPr>
          <w:p>
            <w:pPr>
              <w:pStyle w:val="TableContents"/>
              <w:bidi w:val="0"/>
              <w:spacing w:before="0" w:after="0"/>
              <w:jc w:val="left"/>
              <w:rPr>
                <w:color w:val="000000"/>
              </w:rPr>
            </w:pPr>
            <w:r>
              <w:rPr>
                <w:color w:val="000000"/>
              </w:rPr>
              <w:t>Vietnam</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Wolfram Bergbau und Hutten AG</w:t>
            </w:r>
          </w:p>
        </w:tc>
        <w:tc>
          <w:tcPr>
            <w:tcW w:w="2600" w:type="dxa"/>
            <w:tcBorders/>
            <w:vAlign w:val="center"/>
          </w:tcPr>
          <w:p>
            <w:pPr>
              <w:pStyle w:val="TableContents"/>
              <w:bidi w:val="0"/>
              <w:spacing w:before="0" w:after="0"/>
              <w:jc w:val="left"/>
              <w:rPr>
                <w:color w:val="000000"/>
              </w:rPr>
            </w:pPr>
            <w:r>
              <w:rPr>
                <w:color w:val="000000"/>
              </w:rPr>
              <w:t>Austria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Xiamen Tungsten (H.C.) Co., Ltd.</w:t>
            </w:r>
          </w:p>
        </w:tc>
        <w:tc>
          <w:tcPr>
            <w:tcW w:w="2600" w:type="dxa"/>
            <w:tcBorders/>
            <w:vAlign w:val="center"/>
          </w:tcPr>
          <w:p>
            <w:pPr>
              <w:pStyle w:val="TableContents"/>
              <w:bidi w:val="0"/>
              <w:spacing w:before="0" w:after="0"/>
              <w:jc w:val="left"/>
              <w:rPr>
                <w:color w:val="000000"/>
              </w:rPr>
            </w:pPr>
            <w:r>
              <w:rPr>
                <w:color w:val="000000"/>
              </w:rPr>
              <w:t>China</w:t>
            </w:r>
          </w:p>
        </w:tc>
      </w:tr>
      <w:tr>
        <w:trPr/>
        <w:tc>
          <w:tcPr>
            <w:tcW w:w="920" w:type="dxa"/>
            <w:tcBorders/>
            <w:vAlign w:val="center"/>
          </w:tcPr>
          <w:p>
            <w:pPr>
              <w:pStyle w:val="TableContents"/>
              <w:bidi w:val="0"/>
              <w:spacing w:before="0" w:after="0"/>
              <w:jc w:val="left"/>
              <w:rPr>
                <w:color w:val="000000"/>
              </w:rPr>
            </w:pPr>
            <w:r>
              <w:rPr>
                <w:color w:val="000000"/>
              </w:rPr>
              <w:t>Tungsten</w:t>
            </w:r>
          </w:p>
        </w:tc>
        <w:tc>
          <w:tcPr>
            <w:tcW w:w="6140" w:type="dxa"/>
            <w:tcBorders/>
            <w:vAlign w:val="center"/>
          </w:tcPr>
          <w:p>
            <w:pPr>
              <w:pStyle w:val="TableContents"/>
              <w:bidi w:val="0"/>
              <w:spacing w:before="0" w:after="0"/>
              <w:jc w:val="left"/>
              <w:rPr>
                <w:color w:val="000000"/>
              </w:rPr>
            </w:pPr>
            <w:r>
              <w:rPr>
                <w:color w:val="000000"/>
              </w:rPr>
              <w:t>Xiamen Tungsten Co., Ltd.</w:t>
            </w:r>
          </w:p>
        </w:tc>
        <w:tc>
          <w:tcPr>
            <w:tcW w:w="2600" w:type="dxa"/>
            <w:tcBorders/>
            <w:vAlign w:val="center"/>
          </w:tcPr>
          <w:p>
            <w:pPr>
              <w:pStyle w:val="TableContents"/>
              <w:bidi w:val="0"/>
              <w:spacing w:before="0" w:after="0"/>
              <w:jc w:val="left"/>
              <w:rPr>
                <w:color w:val="000000"/>
              </w:rPr>
            </w:pPr>
            <w:r>
              <w:rPr>
                <w:color w:val="000000"/>
              </w:rPr>
              <w:t>China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B-5</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4181</Words>
  <Characters>24151</Characters>
  <CharactersWithSpaces>27626</CharactersWithSpaces>
  <Paragraphs>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