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right"/>
        <w:rPr/>
      </w:pPr>
      <w:r>
        <w:rPr/>
      </w:r>
      <w:bookmarkStart w:id="0" w:name="ef20080032_425.htm"/>
      <w:bookmarkStart w:id="1" w:name="ksef20080032_425"/>
      <w:bookmarkStart w:id="2" w:name="ef20080032_425.htm"/>
      <w:bookmarkStart w:id="3" w:name="ksef20080032_425"/>
      <w:bookmarkEnd w:id="2"/>
      <w:bookmarkEnd w:id="3"/>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Filed pursuant to Rule 425 under the</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Securities Act of 1933, as amended, and</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deemed filed under Rule 14a-12 under the</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Securities Exchange Act of 1934, as amended</w:t>
      </w:r>
    </w:p>
    <w:p>
      <w:pPr>
        <w:pStyle w:val="TextBody"/>
        <w:bidi w:val="0"/>
        <w:spacing w:before="0" w:after="0"/>
        <w:jc w:val="right"/>
        <w:rPr>
          <w:sz w:val="20"/>
        </w:rPr>
      </w:pPr>
      <w:r>
        <w:rPr>
          <w:sz w:val="20"/>
        </w:rPr>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Filer: ON Semiconductor Corporation</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Commission File No.: 000-49602</w:t>
      </w:r>
    </w:p>
    <w:p>
      <w:pPr>
        <w:pStyle w:val="TextBody"/>
        <w:bidi w:val="0"/>
        <w:spacing w:before="0" w:after="0"/>
        <w:jc w:val="right"/>
        <w:rPr>
          <w:sz w:val="20"/>
        </w:rPr>
      </w:pPr>
      <w:r>
        <w:rPr>
          <w:sz w:val="20"/>
        </w:rPr>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Subject Company: Synaptics Incorporated</w:t>
      </w:r>
    </w:p>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Below sets forth an excerpt of the transcript of a talk given by the Chief Executive Officer and Chief Finanical Officer of ON Semiconductor Corporation at the KeyBanc Capital Markets Technology Leadership Forum on August 11, 2026.</w:t>
      </w:r>
    </w:p>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Normal"/>
        <w:bidi w:val="0"/>
        <w:spacing w:before="0" w:after="0"/>
        <w:jc w:val="left"/>
        <w:rPr>
          <w:sz w:val="4"/>
          <w:szCs w:val="4"/>
        </w:rPr>
      </w:pPr>
      <w:r>
        <w:rPr>
          <w:sz w:val="4"/>
          <w:szCs w:val="4"/>
        </w:rPr>
      </w:r>
      <w:bookmarkStart w:id="4" w:name="z9c85310b5d98410b8c507fe386f26f11"/>
      <w:bookmarkStart w:id="5" w:name="z9c85310b5d98410b8c507fe386f26f11"/>
      <w:bookmarkEnd w:id="5"/>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Q - John N. Vinh</w:t>
            </w:r>
          </w:p>
          <w:p>
            <w:pPr>
              <w:pStyle w:val="TableContents"/>
              <w:bidi w:val="0"/>
              <w:spacing w:before="0" w:after="0"/>
              <w:jc w:val="left"/>
              <w:rPr>
                <w:b/>
                <w:i w:val="false"/>
                <w:caps w:val="false"/>
                <w:smallCaps w:val="false"/>
                <w:color w:val="00AEEF"/>
                <w:shd w:fill="FFFFFF" w:val="clear"/>
              </w:rPr>
            </w:pPr>
            <w:r>
              <w:rPr>
                <w:b/>
                <w:i w:val="false"/>
                <w:caps w:val="false"/>
                <w:smallCaps w:val="false"/>
                <w:color w:val="00AEEF"/>
                <w:shd w:fill="FFFFFF" w:val="clear"/>
              </w:rPr>
            </w:r>
          </w:p>
          <w:p>
            <w:pPr>
              <w:pStyle w:val="TableContents"/>
              <w:bidi w:val="0"/>
              <w:spacing w:before="0" w:after="0"/>
              <w:jc w:val="left"/>
              <w:rPr>
                <w:rFonts w:ascii="Times New Roman;Times;serif" w:hAnsi="Times New Roman;Times;serif"/>
              </w:rPr>
            </w:pPr>
            <w:r>
              <w:rPr>
                <w:rFonts w:ascii="Times New Roman;Times;serif" w:hAnsi="Times New Roman;Times;serif"/>
              </w:rPr>
              <w:t>Great. Maybe switching to M&amp; A, I wanted to ask you about the Synaptics acquisition. You've obviously have had a chance to talk to quite a few investors since the acquisition was announced. Maybe just to come at it a different way, what do you think is -- based on your conversations with investors, what do you think is the most misunderstood perception about the acquisition is at this point?</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 - Hassane El Khoury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Yes. I think, at this point, there's way less confusion than it was when we announced the deal. Because one, people have had time to not just digest the deal, but also do work, and I'll explain a little bit what that work entailed. And also, our communication and the last earnings call was the proof of one of the concerns that existed.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 let me kind of give you, at a high level, when we announced the deal, there were a few categories of investors, whether it's our investors or the Synaptics' investors. But it fell into investors that are familiar with both companies, us and the Synaptics today, were favorable from the get-go. I say the anecdote, I got emails before we even got on the call to talk about the deal. So, that was favorable from an awareness perspective. Now, what surprised me, and in hindsight, of course, it could have been differently communicated, but what's surprising is how many people were not familiar with the new Synaptics. A lot of people were anchored on Synaptics, call it, what are you doing with the five, six years ago Synaptics? And none of this is true today. If anybody did the work on Synaptics, based on the transformation they've gone through over the last five years, it's a very different company. And now that this work has been done and continues to be done, the sentiment is much more favorable on Synaptics as a company.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And then strategic intent that we talked about, there was a lot of concern at the beginning, which is kind of the bear case of, oh my God, there's something wrong with the ON Semi core business. Well, we just delivered a much better core than whether it's AI data center and so on, and we actually incrementally added to our position across the markets. So, that basically highlighted -- and of course the margin expansion that we had this quarter and talked about it margin expansion throughout the year. All of these are signs of a very robust core business. So, it wasn't about, oh my, is the Synaptics going to overcome some weaknesses in the core or is one or the other, are we going to reduce focus on AI data center automotive because -- the answer is, we're coming at it from a position of strength.</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proven the strength of our core business, not just in the reported quarter, but in our outlook. We have proven that it's the right asset. A lot -- there's a lot of different conversations with some of my peers about, even microcontroller peers, about thinking about, hey, we need an AI-first compute platform. So, that tells you that we actually have the right strategy to do it. A lot of our peers have compute, so that gives us that competitive edge because we're not getting a microcontroller franchise, we're getting an AI-first franchise. All of these make the strategic deal strategic.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And by the way, between the synergies and really the health of the business and the margin of the Synaptics' business, it comes with free cash flow that's actually going to fund the growth of the AI-first compute, the Astra platform rather than diverting R&amp;D dollars from the core, which we're going to continue to invest in our core at the same level because we see the growth potential. So, net-net, it is still a favorable deal. It is still financially favorable and strategic deal. And it does not change my view of the announcement or the deal since the day we've done it till now. Maybe the communication, in hindsight, that would have been a better learning there but from the strategic intent of the deal, it's going to deliver the value that we are here to deliver to investors.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 - Thad Trent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And what I would add is, it's accretive to our gross margin target, right, today. We believe we can take our scale and leverage that platform. So, we can take our distribution network, our thousands of customers, and we can take that product broad very quickly, which is something they've struggled with. The other thing, over time, is we can think about our manufacturing footprint and say, how do we improve those margins by bringing some of those new products in-house, right, as they develop the next level of products? So, accretive, cash flow positive, and scaling is really what we'll do with that business.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 - Hassane El Khoury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And one thing I do want to highlight, when we announced the deal, we talked about $200 million of synergies for the deal to be accretive in 18 months. I want to highlight that this is not the extent of the synergies. We put a trigger of 18 months. Everything that Thad talked about, about the margin expansion, the manufacturing, bringing manufacturing, which is all incremental to their margin and incremental to the benefit of the combined company, all that is synergies that happen outside of 18 months. So, you can think about the $200 million is kind of at that 18-month line, but it doesn't stop at that. All of the distribution, one design cycle, you're outside the 18-month, but that's all revenue synergies that's going to complement our growth and theirs. So, that's where the one plus one is more than two, not just for the $200 million synergy. That just gets us to accretive deal in 18 months. It's going to continue with the scale that we bring and the technology that they bring.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c578c300c97645198d0e71407cca29f3"/>
      <w:bookmarkStart w:id="7" w:name="zc578c300c97645198d0e71407cca29f3"/>
      <w:bookmarkEnd w:id="7"/>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Q - John N. Vinh</w:t>
            </w:r>
          </w:p>
          <w:p>
            <w:pPr>
              <w:pStyle w:val="TableContents"/>
              <w:bidi w:val="0"/>
              <w:spacing w:before="0" w:after="0"/>
              <w:jc w:val="left"/>
              <w:rPr>
                <w:b/>
                <w:i w:val="false"/>
                <w:caps w:val="false"/>
                <w:smallCaps w:val="false"/>
                <w:color w:val="00AEEF"/>
                <w:shd w:fill="FFFFFF" w:val="clear"/>
              </w:rPr>
            </w:pPr>
            <w:r>
              <w:rPr>
                <w:b/>
                <w:i w:val="false"/>
                <w:caps w:val="false"/>
                <w:smallCaps w:val="false"/>
                <w:color w:val="00AEEF"/>
                <w:shd w:fill="FFFFFF" w:val="clear"/>
              </w:rPr>
            </w:r>
          </w:p>
          <w:p>
            <w:pPr>
              <w:pStyle w:val="TableContents"/>
              <w:bidi w:val="0"/>
              <w:spacing w:before="0" w:after="0"/>
              <w:jc w:val="left"/>
              <w:rPr>
                <w:rFonts w:ascii="Times New Roman;Times;serif" w:hAnsi="Times New Roman;Times;serif"/>
              </w:rPr>
            </w:pPr>
            <w:r>
              <w:rPr>
                <w:rFonts w:ascii="Times New Roman;Times;serif" w:hAnsi="Times New Roman;Times;serif"/>
              </w:rPr>
              <w:t>Good. Do you have a sense of right now how much of their products you're going to be able to take in-house and get those COGS benefits?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 - Hassane El Khoury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 won't be like anything non-Astra. Like Astra is an advanced node. We don't do that internal. Everything else is a candidate, I would say. And I say a candidate because if you have a business that's going to be replaced by a new generation, next cycle from Synaptic, we may introduce the next one in and keep the older ones. So, there's -- we do -- all the technology knows they make, we can do internal. The question is from a cost and CapEx and so on, it has to be favorable overall. That's part of the integration planning we're doing now. But it's a -- from an overlap perspective of what we can, a high percentage of the non-Astra business can go in.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239785918acc45ec9ad1ba6cd7677687"/>
      <w:bookmarkStart w:id="9" w:name="z239785918acc45ec9ad1ba6cd7677687"/>
      <w:bookmarkEnd w:id="9"/>
    </w:p>
    <w:tbl>
      <w:tblPr>
        <w:tblW w:w="5510" w:type="dxa"/>
        <w:jc w:val="left"/>
        <w:tblInd w:w="0" w:type="dxa"/>
        <w:tblLayout w:type="fixed"/>
        <w:tblCellMar>
          <w:top w:w="0" w:type="dxa"/>
          <w:left w:w="0" w:type="dxa"/>
          <w:bottom w:w="0" w:type="dxa"/>
          <w:right w:w="0" w:type="dxa"/>
        </w:tblCellMar>
      </w:tblPr>
      <w:tblGrid>
        <w:gridCol w:w="5510"/>
      </w:tblGrid>
      <w:tr>
        <w:trPr/>
        <w:tc>
          <w:tcPr>
            <w:tcW w:w="5510" w:type="dxa"/>
            <w:tcBorders/>
            <w:shd w:fill="FFFFFF" w:val="cle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Q - John N. Vinh</w:t>
            </w:r>
          </w:p>
          <w:p>
            <w:pPr>
              <w:pStyle w:val="TableContents"/>
              <w:bidi w:val="0"/>
              <w:spacing w:before="0" w:after="0"/>
              <w:jc w:val="left"/>
              <w:rPr>
                <w:b/>
                <w:i w:val="false"/>
                <w:caps w:val="false"/>
                <w:smallCaps w:val="false"/>
                <w:color w:val="00AEEF"/>
                <w:shd w:fill="FFFFFF" w:val="clear"/>
              </w:rPr>
            </w:pPr>
            <w:r>
              <w:rPr>
                <w:b/>
                <w:i w:val="false"/>
                <w:caps w:val="false"/>
                <w:smallCaps w:val="false"/>
                <w:color w:val="00AEEF"/>
                <w:shd w:fill="FFFFFF" w:val="clear"/>
              </w:rPr>
            </w:r>
          </w:p>
          <w:p>
            <w:pPr>
              <w:pStyle w:val="TableContents"/>
              <w:bidi w:val="0"/>
              <w:spacing w:before="0" w:after="0"/>
              <w:jc w:val="left"/>
              <w:rPr>
                <w:rFonts w:ascii="Times New Roman;Times;serif" w:hAnsi="Times New Roman;Times;serif"/>
              </w:rPr>
            </w:pPr>
            <w:r>
              <w:rPr>
                <w:rFonts w:ascii="Times New Roman;Times;serif" w:hAnsi="Times New Roman;Times;serif"/>
              </w:rPr>
              <w:t>All right. It looks like we're out of time. Thank you, guys.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 - Hassane El Khoury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Thank you.</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Cautionary Note Regarding Forward-Looking Statements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proxy statement/prospectus and other documents filed with the SEC by the parties on Synaptics Investor Relations at https://investor.synaptics.com/ (for documents filed with the SEC by Synaptics) or onsemi Investor Relations at https://investor.onsemi.com/ (for documents filed with the SEC by onsemi).</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Participants in the Solicitation</w:t>
      </w:r>
    </w:p>
    <w:p>
      <w:pPr>
        <w:pStyle w:val="TextBody"/>
        <w:bidi w:val="0"/>
        <w:spacing w:before="0" w:after="0"/>
        <w:jc w:val="left"/>
        <w:rPr/>
      </w:pPr>
      <w:r>
        <w:rPr/>
      </w:r>
    </w:p>
    <w:p>
      <w:pPr>
        <w:pStyle w:val="TextBody"/>
        <w:bidi w:val="0"/>
        <w:spacing w:before="0" w:after="0"/>
        <w:ind w:left="0" w:right="0" w:firstLine="720"/>
        <w:jc w:val="both"/>
        <w:rPr/>
      </w:pPr>
      <w:r>
        <w:rPr>
          <w:rFonts w:ascii="Times New Roman;Times;serif" w:hAnsi="Times New Roman;Times;serif"/>
          <w:b w:val="false"/>
          <w:i w:val="false"/>
          <w:caps w:val="false"/>
          <w:smallCaps w:val="false"/>
          <w:color w:val="000000"/>
          <w:sz w:val="20"/>
          <w:shd w:fill="FFFFFF" w:val="clear"/>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2">
        <w:r>
          <w:rPr>
            <w:rStyle w:val="InternetLink"/>
          </w:rPr>
          <w:t>September 16, 2025</w:t>
        </w:r>
      </w:hyperlink>
      <w:r>
        <w:rPr>
          <w:rFonts w:ascii="Times New Roman;Times;serif" w:hAnsi="Times New Roman;Times;serif"/>
          <w:b w:val="false"/>
          <w:i w:val="false"/>
          <w:caps w:val="false"/>
          <w:smallCaps w:val="false"/>
          <w:color w:val="000000"/>
          <w:sz w:val="20"/>
          <w:shd w:fill="FFFFFF" w:val="clear"/>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https://www.sec.gov/edgar/browse/?CIK=817720&amp;owner=exclude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3">
        <w:r>
          <w:rPr>
            <w:rStyle w:val="InternetLink"/>
          </w:rPr>
          <w:t>April 2, 2026</w:t>
        </w:r>
      </w:hyperlink>
      <w:r>
        <w:rPr>
          <w:rFonts w:ascii="Times New Roman;Times;serif" w:hAnsi="Times New Roman;Times;serif"/>
          <w:b w:val="false"/>
          <w:i w:val="false"/>
          <w:caps w:val="false"/>
          <w:smallCaps w:val="false"/>
          <w:color w:val="000000"/>
          <w:sz w:val="20"/>
          <w:shd w:fill="FFFFFF" w:val="clear"/>
        </w:rPr>
        <w:t>.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17720/000081772025000083/syna-20250916.htm" TargetMode="External"/><Relationship Id="rId3" Type="http://schemas.openxmlformats.org/officeDocument/2006/relationships/hyperlink" Target="https://www.sec.gov/ix?doc=/Archives/edgar/data/1097864/000109786426000010/on-202604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2629</Words>
  <Characters>13703</Characters>
  <CharactersWithSpaces>16300</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