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July 3, 2026 </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001-39317 </w:t>
      </w:r>
    </w:p>
    <w:p>
      <w:pPr>
        <w:pStyle w:val="TextBody"/>
        <w:bidi w:val="0"/>
        <w:spacing w:before="0" w:after="0"/>
        <w:jc w:val="center"/>
        <w:rPr/>
      </w:pPr>
      <w:r>
        <w:rPr/>
        <w:drawing>
          <wp:inline distT="0" distB="0" distL="0" distR="0">
            <wp:extent cx="20097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7143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ON SEMICONDUCTOR CORPORATION</w:t>
      </w:r>
    </w:p>
    <w:p>
      <w:pPr>
        <w:pStyle w:val="TextBody"/>
        <w:bidi w:val="0"/>
        <w:spacing w:lineRule="auto" w:line="288" w:before="0" w:after="0"/>
        <w:jc w:val="center"/>
        <w:rPr/>
      </w:pPr>
      <w:r>
        <w:rPr>
          <w:rFonts w:ascii="Times New Roman;serif" w:hAnsi="Times New Roman;serif"/>
          <w:b/>
          <w:color w:val="000000"/>
          <w:sz w:val="16"/>
        </w:rPr>
        <w:t>(Exact name of registrant as specified in its charter)</w:t>
      </w: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36-3840979</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5701 N. Pima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Scottsdale, AZ 85250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(602) 244-6600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zip code and telephone number, including area code, of principal executive offices)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08" w:type="dxa"/>
        <w:jc w:val="left"/>
        <w:tblInd w:w="0" w:type="dxa"/>
        <w:tblLayout w:type="fixed"/>
        <w:tblCellMar>
          <w:top w:w="28" w:type="dxa"/>
          <w:left w:w="28" w:type="dxa"/>
          <w:bottom w:w="28" w:type="dxa"/>
          <w:right w:w="28" w:type="dxa"/>
        </w:tblCellMar>
      </w:tblPr>
      <w:tblGrid>
        <w:gridCol w:w="1109"/>
        <w:gridCol w:w="968"/>
        <w:gridCol w:w="982"/>
        <w:gridCol w:w="474"/>
        <w:gridCol w:w="474"/>
        <w:gridCol w:w="476"/>
        <w:gridCol w:w="945"/>
        <w:gridCol w:w="945"/>
        <w:gridCol w:w="1335"/>
      </w:tblGrid>
      <w:tr>
        <w:trPr/>
        <w:tc>
          <w:tcPr>
            <w:tcW w:w="1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ON</w:t>
            </w:r>
          </w:p>
        </w:tc>
        <w:tc>
          <w:tcPr>
            <w:tcW w:w="32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before="0" w:after="0"/>
        <w:ind w:left="0" w:right="0" w:firstLine="495"/>
        <w:jc w:val="left"/>
        <w:rPr/>
      </w:pPr>
      <w:r>
        <w:rPr/>
      </w:r>
    </w:p>
    <w:p>
      <w:pPr>
        <w:pStyle w:val="TextBody"/>
        <w:bidi w:val="0"/>
        <w:spacing w:lineRule="auto" w:line="288" w:before="0" w:after="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542" w:type="dxa"/>
        <w:jc w:val="left"/>
        <w:tblInd w:w="0" w:type="dxa"/>
        <w:tblLayout w:type="fixed"/>
        <w:tblCellMar>
          <w:top w:w="28" w:type="dxa"/>
          <w:left w:w="28" w:type="dxa"/>
          <w:bottom w:w="28" w:type="dxa"/>
          <w:right w:w="28" w:type="dxa"/>
        </w:tblCellMar>
      </w:tblPr>
      <w:tblGrid>
        <w:gridCol w:w="619"/>
        <w:gridCol w:w="543"/>
        <w:gridCol w:w="547"/>
        <w:gridCol w:w="145"/>
        <w:gridCol w:w="145"/>
        <w:gridCol w:w="146"/>
        <w:gridCol w:w="674"/>
        <w:gridCol w:w="674"/>
        <w:gridCol w:w="677"/>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is a shell company (as defined in Rule 12b-2 of the Exchange</w:t>
      </w:r>
      <w:r>
        <w:rPr>
          <w:color w:val="000000"/>
        </w:rPr>
        <w:t xml:space="preserve"> </w:t>
      </w:r>
      <w:r>
        <w:rPr>
          <w:rFonts w:ascii="Times New Roman;serif" w:hAnsi="Times New Roman;serif"/>
          <w:b w:val="false"/>
          <w:color w:val="000000"/>
          <w:sz w:val="16"/>
        </w:rPr>
        <w:t>Act).</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x</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number of shares of the issuer's common stock outstanding at July 29, 2026 was 389,311,721.</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 FORM 10-Q</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p>
      <w:pPr>
        <w:pStyle w:val="TextBody"/>
        <w:bidi w:val="0"/>
        <w:spacing w:lineRule="auto" w:line="288" w:before="0" w:after="0"/>
        <w:jc w:val="center"/>
        <w:rPr/>
      </w:pPr>
      <w:hyperlink w:anchor="i1d3130c5dba44501a5a60be02340ccab_13">
        <w:r>
          <w:rPr>
            <w:rStyle w:val="InternetLink"/>
            <w:rFonts w:ascii="Times New Roman;serif" w:hAnsi="Times New Roman;serif"/>
            <w:b/>
            <w:color w:val="000000"/>
            <w:sz w:val="20"/>
            <w:u w:val="single"/>
          </w:rPr>
          <w:t>Part I: Financial Information</w:t>
        </w:r>
      </w:hyperlink>
    </w:p>
    <w:tbl>
      <w:tblPr>
        <w:tblW w:w="8648" w:type="dxa"/>
        <w:jc w:val="left"/>
        <w:tblInd w:w="0" w:type="dxa"/>
        <w:tblLayout w:type="fixed"/>
        <w:tblCellMar>
          <w:top w:w="28" w:type="dxa"/>
          <w:left w:w="28" w:type="dxa"/>
          <w:bottom w:w="28" w:type="dxa"/>
          <w:right w:w="28" w:type="dxa"/>
        </w:tblCellMar>
      </w:tblPr>
      <w:tblGrid>
        <w:gridCol w:w="124"/>
        <w:gridCol w:w="109"/>
        <w:gridCol w:w="109"/>
        <w:gridCol w:w="2642"/>
        <w:gridCol w:w="2642"/>
        <w:gridCol w:w="265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3">
              <w:r>
                <w:rPr>
                  <w:rStyle w:val="InternetLink"/>
                  <w:rFonts w:ascii="Times New Roman;serif" w:hAnsi="Times New Roman;serif"/>
                  <w:b w:val="false"/>
                  <w:strike w:val="false"/>
                  <w:dstrike w:val="false"/>
                  <w:color w:val="000000"/>
                  <w:sz w:val="20"/>
                  <w:u w:val="none"/>
                  <w:effect w:val="non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6">
              <w:r>
                <w:rPr>
                  <w:rStyle w:val="InternetLink"/>
                  <w:rFonts w:ascii="Times New Roman;serif" w:hAnsi="Times New Roman;serif"/>
                  <w:b w:val="false"/>
                  <w:color w:val="0000FF"/>
                  <w:sz w:val="20"/>
                  <w:u w:val="single"/>
                </w:rPr>
                <w:t>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6">
              <w:r>
                <w:rPr>
                  <w:rStyle w:val="InternetLink"/>
                  <w:rFonts w:ascii="Times New Roman;serif" w:hAnsi="Times New Roman;serif"/>
                  <w:b w:val="false"/>
                  <w:strike w:val="false"/>
                  <w:dstrike w:val="false"/>
                  <w:color w:val="000000"/>
                  <w:sz w:val="20"/>
                  <w:u w:val="none"/>
                  <w:effect w:val="non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6">
              <w:r>
                <w:rPr>
                  <w:rStyle w:val="InternetLink"/>
                  <w:rFonts w:ascii="Times New Roman;serif" w:hAnsi="Times New Roman;serif"/>
                  <w:b w:val="false"/>
                  <w:color w:val="0000FF"/>
                  <w:sz w:val="20"/>
                  <w:u w:val="single"/>
                </w:rPr>
                <w:t>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9">
              <w:r>
                <w:rPr>
                  <w:rStyle w:val="InternetLink"/>
                  <w:rFonts w:ascii="Times New Roman;serif" w:hAnsi="Times New Roman;serif"/>
                  <w:b w:val="false"/>
                  <w:strike w:val="false"/>
                  <w:dstrike w:val="false"/>
                  <w:color w:val="000000"/>
                  <w:sz w:val="20"/>
                  <w:u w:val="none"/>
                  <w:effect w:val="none"/>
                </w:rPr>
                <w:t>Consolidated Statements of Operations and Comprehensive</w:t>
              </w:r>
            </w:hyperlink>
            <w:r>
              <w:rPr>
                <w:rFonts w:ascii="Times New Roman;serif" w:hAnsi="Times New Roman;serif"/>
                <w:b w:val="false"/>
                <w:color w:val="000000"/>
                <w:sz w:val="20"/>
              </w:rPr>
              <w:t xml:space="preserve"> Income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9">
              <w:r>
                <w:rPr>
                  <w:rStyle w:val="InternetLink"/>
                  <w:rFonts w:ascii="Times New Roman;serif" w:hAnsi="Times New Roman;serif"/>
                  <w:b w:val="false"/>
                  <w:color w:val="0000FF"/>
                  <w:sz w:val="20"/>
                  <w:u w:val="single"/>
                </w:rPr>
                <w:t>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22">
              <w:r>
                <w:rPr>
                  <w:rStyle w:val="InternetLink"/>
                  <w:rFonts w:ascii="Times New Roman;serif" w:hAnsi="Times New Roman;serif"/>
                  <w:b w:val="false"/>
                  <w:strike w:val="false"/>
                  <w:dstrike w:val="false"/>
                  <w:color w:val="000000"/>
                  <w:sz w:val="20"/>
                  <w:u w:val="none"/>
                  <w:effect w:val="non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22">
              <w:r>
                <w:rPr>
                  <w:rStyle w:val="InternetLink"/>
                  <w:rFonts w:ascii="Times New Roman;serif" w:hAnsi="Times New Roman;serif"/>
                  <w:b w:val="false"/>
                  <w:color w:val="0000FF"/>
                  <w:sz w:val="20"/>
                  <w:u w:val="single"/>
                </w:rPr>
                <w:t>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25">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25">
              <w:r>
                <w:rPr>
                  <w:rStyle w:val="InternetLink"/>
                  <w:rFonts w:ascii="Times New Roman;serif" w:hAnsi="Times New Roman;serif"/>
                  <w:b w:val="false"/>
                  <w:color w:val="0000FF"/>
                  <w:sz w:val="20"/>
                  <w:u w:val="single"/>
                </w:rPr>
                <w:t>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28">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28">
              <w:r>
                <w:rPr>
                  <w:rStyle w:val="InternetLink"/>
                  <w:rFonts w:ascii="Times New Roman;serif" w:hAnsi="Times New Roman;serif"/>
                  <w:b w:val="false"/>
                  <w:color w:val="0000FF"/>
                  <w:sz w:val="20"/>
                  <w:u w:val="single"/>
                </w:rPr>
                <w:t>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00">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00">
              <w:r>
                <w:rPr>
                  <w:rStyle w:val="InternetLink"/>
                  <w:rFonts w:ascii="Times New Roman;serif" w:hAnsi="Times New Roman;serif"/>
                  <w:b w:val="false"/>
                  <w:color w:val="0000FF"/>
                  <w:sz w:val="20"/>
                  <w:u w:val="single"/>
                </w:rPr>
                <w:t>30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24">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24">
              <w:r>
                <w:rPr>
                  <w:rStyle w:val="InternetLink"/>
                  <w:rFonts w:ascii="Times New Roman;serif" w:hAnsi="Times New Roman;serif"/>
                  <w:b w:val="false"/>
                  <w:color w:val="0000FF"/>
                  <w:sz w:val="20"/>
                  <w:u w:val="single"/>
                </w:rPr>
                <w:t>41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27">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27">
              <w:r>
                <w:rPr>
                  <w:rStyle w:val="InternetLink"/>
                  <w:rFonts w:ascii="Times New Roman;serif" w:hAnsi="Times New Roman;serif"/>
                  <w:b w:val="false"/>
                  <w:color w:val="0000FF"/>
                  <w:sz w:val="20"/>
                  <w:u w:val="single"/>
                </w:rPr>
                <w:t>41</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9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center"/>
        <w:rPr/>
      </w:pPr>
      <w:hyperlink w:anchor="i1d3130c5dba44501a5a60be02340ccab_130">
        <w:r>
          <w:rPr>
            <w:rStyle w:val="InternetLink"/>
            <w:rFonts w:ascii="Times New Roman;serif" w:hAnsi="Times New Roman;serif"/>
            <w:b/>
            <w:color w:val="000000"/>
            <w:sz w:val="20"/>
            <w:u w:val="single"/>
          </w:rPr>
          <w:t>Part II: Other Information</w:t>
        </w:r>
      </w:hyperlink>
    </w:p>
    <w:tbl>
      <w:tblPr>
        <w:tblW w:w="6233" w:type="dxa"/>
        <w:jc w:val="left"/>
        <w:tblInd w:w="0" w:type="dxa"/>
        <w:tblLayout w:type="fixed"/>
        <w:tblCellMar>
          <w:top w:w="28" w:type="dxa"/>
          <w:left w:w="28" w:type="dxa"/>
          <w:bottom w:w="28" w:type="dxa"/>
          <w:right w:w="28" w:type="dxa"/>
        </w:tblCellMar>
      </w:tblPr>
      <w:tblGrid>
        <w:gridCol w:w="124"/>
        <w:gridCol w:w="109"/>
        <w:gridCol w:w="109"/>
        <w:gridCol w:w="1838"/>
        <w:gridCol w:w="1838"/>
        <w:gridCol w:w="184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1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33">
              <w:r>
                <w:rPr>
                  <w:rStyle w:val="InternetLink"/>
                  <w:rFonts w:ascii="Times New Roman;serif" w:hAnsi="Times New Roman;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33">
              <w:r>
                <w:rPr>
                  <w:rStyle w:val="InternetLink"/>
                  <w:rFonts w:ascii="Times New Roman;serif" w:hAnsi="Times New Roman;serif"/>
                  <w:b w:val="false"/>
                  <w:color w:val="0000FF"/>
                  <w:sz w:val="20"/>
                  <w:u w:val="single"/>
                </w:rPr>
                <w:t>41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36">
              <w:r>
                <w:rPr>
                  <w:rStyle w:val="InternetLink"/>
                  <w:rFonts w:ascii="Times New Roman;serif" w:hAnsi="Times New Roman;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36">
              <w:r>
                <w:rPr>
                  <w:rStyle w:val="InternetLink"/>
                  <w:rFonts w:ascii="Times New Roman;serif" w:hAnsi="Times New Roman;serif"/>
                  <w:b w:val="false"/>
                  <w:color w:val="0000FF"/>
                  <w:sz w:val="20"/>
                  <w:u w:val="single"/>
                </w:rPr>
                <w:t>42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39">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39">
              <w:r>
                <w:rPr>
                  <w:rStyle w:val="InternetLink"/>
                  <w:rFonts w:ascii="Times New Roman;serif" w:hAnsi="Times New Roman;serif"/>
                  <w:b w:val="false"/>
                  <w:color w:val="0000FF"/>
                  <w:sz w:val="20"/>
                  <w:u w:val="single"/>
                </w:rPr>
                <w:t>46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42">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42">
              <w:r>
                <w:rPr>
                  <w:rStyle w:val="InternetLink"/>
                  <w:rFonts w:ascii="Times New Roman;serif" w:hAnsi="Times New Roman;serif"/>
                  <w:b w:val="false"/>
                  <w:color w:val="0000FF"/>
                  <w:sz w:val="20"/>
                  <w:u w:val="single"/>
                </w:rPr>
                <w:t>46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45">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45">
              <w:r>
                <w:rPr>
                  <w:rStyle w:val="InternetLink"/>
                  <w:rFonts w:ascii="Times New Roman;serif" w:hAnsi="Times New Roman;serif"/>
                  <w:b w:val="false"/>
                  <w:color w:val="0000FF"/>
                  <w:sz w:val="20"/>
                  <w:u w:val="single"/>
                </w:rPr>
                <w:t>46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48">
              <w:r>
                <w:rPr>
                  <w:rStyle w:val="InternetLink"/>
                  <w:rFonts w:ascii="Times New Roman;serif" w:hAnsi="Times New Roman;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48">
              <w:r>
                <w:rPr>
                  <w:rStyle w:val="InternetLink"/>
                  <w:rFonts w:ascii="Times New Roman;serif" w:hAnsi="Times New Roman;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54">
              <w:r>
                <w:rPr>
                  <w:rStyle w:val="InternetLink"/>
                  <w:rFonts w:ascii="Times New Roman;serif" w:hAnsi="Times New Roman;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54">
              <w:r>
                <w:rPr>
                  <w:rStyle w:val="InternetLink"/>
                  <w:rFonts w:ascii="Times New Roman;serif" w:hAnsi="Times New Roman;serif"/>
                  <w:b w:val="false"/>
                  <w:color w:val="0000FF"/>
                  <w:sz w:val="20"/>
                  <w:u w:val="single"/>
                </w:rPr>
                <w:t>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3130c5dba44501a5a60be02340ccab_157">
              <w:r>
                <w:rPr>
                  <w:rStyle w:val="InternetLink"/>
                  <w:rFonts w:ascii="Times New Roman;serif" w:hAnsi="Times New Roman;serif"/>
                  <w:b w:val="false"/>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3130c5dba44501a5a60be02340ccab_157">
              <w:r>
                <w:rPr>
                  <w:rStyle w:val="InternetLink"/>
                  <w:rFonts w:ascii="Times New Roman;serif" w:hAnsi="Times New Roman;serif"/>
                  <w:b w:val="false"/>
                  <w:color w:val="0000FF"/>
                  <w:sz w:val="20"/>
                  <w:u w:val="single"/>
                </w:rPr>
                <w:t>49</w:t>
              </w:r>
            </w:hyperlink>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glossary of selected terms immediately following this table of contents for definitions of certain abbreviated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SELECTED ABBREVIATED TERMS*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74"/>
        <w:gridCol w:w="505"/>
        <w:gridCol w:w="506"/>
        <w:gridCol w:w="109"/>
        <w:gridCol w:w="109"/>
        <w:gridCol w:w="109"/>
        <w:gridCol w:w="2809"/>
        <w:gridCol w:w="2267"/>
        <w:gridCol w:w="3217"/>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Abbreviated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 Term</w:t>
            </w:r>
          </w:p>
        </w:tc>
      </w:tr>
      <w:tr>
        <w:trPr/>
        <w:tc>
          <w:tcPr>
            <w:tcW w:w="1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 Convertible Senior Notes due 2027</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 Convertible Senior Notes due 2031</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 Convertible Senior Notes due 2029</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3.875% Senior Notes due 2028</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driver-assistance systems</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Artificial Intelligence</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SIP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Semiconductor Corporation Amended and Restated Stock Incentive Plan, as amended</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or 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June 22, 2023, by and among the Company, as borrower, the several lenders party thereto, JP Morgan Chase Bank, N.A., as administrative agent, and certain other parties, providing for the Revolving Credit Facility</w:t>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3"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Semiconductor Corporation 2000 Employee Stock Purchase Plan, as amended</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HSR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Hart-Scott-Rodino Antitrust Improvement Act of 1976, as amended</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Exchange Act of 1934, as amended </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Internal Revenue Service</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$1.5 billion senior revolving credit facility created pursuant to the Credit Agreement</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Silicon carbide</w:t>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3"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or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Terms used, but not defined, within the body of the Form 10-Q are defined in this Glossary.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41"/>
        <w:gridCol w:w="2381"/>
        <w:gridCol w:w="2405"/>
        <w:gridCol w:w="196"/>
        <w:gridCol w:w="781"/>
        <w:gridCol w:w="109"/>
        <w:gridCol w:w="109"/>
        <w:gridCol w:w="109"/>
        <w:gridCol w:w="109"/>
        <w:gridCol w:w="201"/>
        <w:gridCol w:w="803"/>
        <w:gridCol w:w="161"/>
      </w:tblGrid>
      <w:tr>
        <w:trPr/>
        <w:tc>
          <w:tcPr>
            <w:tcW w:w="284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held-for-sale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5,823.1 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financing lease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12,524.1 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financing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financing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 Semiconductor Corporation 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1,250,000,000 shares authorized, 626,960,841 and 624,962,201 issued, 389,290,999 and 396,740,551 outstanding,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Treasury stock, at cost: 237,669,842 and 228,221,650 shares,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ON Semiconductor Corporation stockholders’ equity</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7,673.3 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7,691.9 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12,524.1 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00"/>
        <w:gridCol w:w="1592"/>
        <w:gridCol w:w="1602"/>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5"/>
      </w:tblGrid>
      <w:tr>
        <w:trPr/>
        <w:tc>
          <w:tcPr>
            <w:tcW w:w="200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w:t>
              <w:br/>
              <w:t>2025</w:t>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asset impairments and other,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ON Semiconductor Corporation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of common stock attributable to ON Semiconductor Corporation:</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common stock outstanding:</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net of tax:</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cash flow hedges and other adjustments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ON Semiconductor Corporation</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pPr>
      <w:r>
        <w:rPr>
          <w:rFonts w:ascii="Times New Roman;serif" w:hAnsi="Times New Roman;serif"/>
          <w:b/>
          <w:color w:val="000000"/>
          <w:sz w:val="20"/>
        </w:rPr>
        <w:t>(in millions, except share data)</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4008" w:type="dxa"/>
        <w:jc w:val="left"/>
        <w:tblInd w:w="0" w:type="dxa"/>
        <w:tblLayout w:type="fixed"/>
        <w:tblCellMar>
          <w:top w:w="28" w:type="dxa"/>
          <w:left w:w="28" w:type="dxa"/>
          <w:bottom w:w="28" w:type="dxa"/>
          <w:right w:w="28" w:type="dxa"/>
        </w:tblCellMar>
      </w:tblPr>
      <w:tblGrid>
        <w:gridCol w:w="800"/>
        <w:gridCol w:w="215"/>
        <w:gridCol w:w="216"/>
        <w:gridCol w:w="525"/>
        <w:gridCol w:w="526"/>
        <w:gridCol w:w="251"/>
        <w:gridCol w:w="109"/>
        <w:gridCol w:w="109"/>
        <w:gridCol w:w="109"/>
        <w:gridCol w:w="196"/>
        <w:gridCol w:w="376"/>
        <w:gridCol w:w="109"/>
        <w:gridCol w:w="109"/>
        <w:gridCol w:w="109"/>
        <w:gridCol w:w="109"/>
        <w:gridCol w:w="196"/>
        <w:gridCol w:w="691"/>
        <w:gridCol w:w="109"/>
        <w:gridCol w:w="109"/>
        <w:gridCol w:w="109"/>
        <w:gridCol w:w="109"/>
        <w:gridCol w:w="325"/>
        <w:gridCol w:w="799"/>
        <w:gridCol w:w="182"/>
        <w:gridCol w:w="109"/>
        <w:gridCol w:w="109"/>
        <w:gridCol w:w="109"/>
        <w:gridCol w:w="221"/>
        <w:gridCol w:w="781"/>
        <w:gridCol w:w="124"/>
        <w:gridCol w:w="109"/>
        <w:gridCol w:w="109"/>
        <w:gridCol w:w="109"/>
        <w:gridCol w:w="533"/>
        <w:gridCol w:w="533"/>
        <w:gridCol w:w="251"/>
        <w:gridCol w:w="109"/>
        <w:gridCol w:w="109"/>
        <w:gridCol w:w="109"/>
        <w:gridCol w:w="196"/>
        <w:gridCol w:w="706"/>
        <w:gridCol w:w="109"/>
        <w:gridCol w:w="109"/>
        <w:gridCol w:w="109"/>
        <w:gridCol w:w="109"/>
        <w:gridCol w:w="351"/>
        <w:gridCol w:w="834"/>
        <w:gridCol w:w="196"/>
        <w:gridCol w:w="109"/>
        <w:gridCol w:w="109"/>
        <w:gridCol w:w="109"/>
        <w:gridCol w:w="196"/>
        <w:gridCol w:w="691"/>
        <w:gridCol w:w="154"/>
      </w:tblGrid>
      <w:tr>
        <w:trPr/>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3, 2026</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626,221,307 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8,208.5 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(234,349,823)</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pursuant to the ESPP</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101,729 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released and stock grant awards issued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Warrants and bond hedges, net - 2031 0% Notes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warrants and bond hedges,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for RSUs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(3,138,218)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3, 2026</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626,960,841 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8,435.3 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(237,669,842)</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624,962,201 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(228,221,650)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pursuant to the ESPP</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246,846 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released and stock grant awards issued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1,751,794 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Warrants and bond hedges, net - 2031 0% Notes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warrants and bond hedges,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for RSUs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(600,652)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(8,847,540)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3, 2026</w:t>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626,960,841 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8,435.3 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(237,669,842)</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tbl>
      <w:tblPr>
        <w:tblW w:w="14008" w:type="dxa"/>
        <w:jc w:val="left"/>
        <w:tblInd w:w="0" w:type="dxa"/>
        <w:tblLayout w:type="fixed"/>
        <w:tblCellMar>
          <w:top w:w="28" w:type="dxa"/>
          <w:left w:w="28" w:type="dxa"/>
          <w:bottom w:w="28" w:type="dxa"/>
          <w:right w:w="28" w:type="dxa"/>
        </w:tblCellMar>
      </w:tblPr>
      <w:tblGrid>
        <w:gridCol w:w="800"/>
        <w:gridCol w:w="215"/>
        <w:gridCol w:w="216"/>
        <w:gridCol w:w="525"/>
        <w:gridCol w:w="526"/>
        <w:gridCol w:w="251"/>
        <w:gridCol w:w="109"/>
        <w:gridCol w:w="109"/>
        <w:gridCol w:w="109"/>
        <w:gridCol w:w="196"/>
        <w:gridCol w:w="376"/>
        <w:gridCol w:w="109"/>
        <w:gridCol w:w="109"/>
        <w:gridCol w:w="109"/>
        <w:gridCol w:w="109"/>
        <w:gridCol w:w="196"/>
        <w:gridCol w:w="691"/>
        <w:gridCol w:w="109"/>
        <w:gridCol w:w="109"/>
        <w:gridCol w:w="109"/>
        <w:gridCol w:w="109"/>
        <w:gridCol w:w="325"/>
        <w:gridCol w:w="799"/>
        <w:gridCol w:w="182"/>
        <w:gridCol w:w="109"/>
        <w:gridCol w:w="109"/>
        <w:gridCol w:w="109"/>
        <w:gridCol w:w="221"/>
        <w:gridCol w:w="781"/>
        <w:gridCol w:w="124"/>
        <w:gridCol w:w="109"/>
        <w:gridCol w:w="109"/>
        <w:gridCol w:w="109"/>
        <w:gridCol w:w="533"/>
        <w:gridCol w:w="533"/>
        <w:gridCol w:w="251"/>
        <w:gridCol w:w="109"/>
        <w:gridCol w:w="109"/>
        <w:gridCol w:w="109"/>
        <w:gridCol w:w="196"/>
        <w:gridCol w:w="706"/>
        <w:gridCol w:w="109"/>
        <w:gridCol w:w="109"/>
        <w:gridCol w:w="109"/>
        <w:gridCol w:w="109"/>
        <w:gridCol w:w="351"/>
        <w:gridCol w:w="834"/>
        <w:gridCol w:w="196"/>
        <w:gridCol w:w="109"/>
        <w:gridCol w:w="109"/>
        <w:gridCol w:w="109"/>
        <w:gridCol w:w="196"/>
        <w:gridCol w:w="691"/>
        <w:gridCol w:w="154"/>
      </w:tblGrid>
      <w:tr>
        <w:trPr/>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4, 2025</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624,118,249 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(206,251,615)</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pursuant to the ESPP</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released and stock grant awards issued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162,395 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for RSUs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(6,934,425)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4, 2025</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624,436,148 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7,805.1 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(213,231,935)</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622,655,553 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(199,700,380)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pursuant to the ESPP</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308,882 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released and stock grant awards issued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1,471,710 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Partial settlement - 0% Notes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Partial settlement of warrants - 0% Notes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for RSUs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(518,625)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(13,012,930)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4, 2025</w:t>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624,436,148 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(213,231,935)</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ON SEMICONDUCTOR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8604" w:type="dxa"/>
        <w:jc w:val="center"/>
        <w:tblInd w:w="0" w:type="dxa"/>
        <w:tblLayout w:type="fixed"/>
        <w:tblCellMar>
          <w:top w:w="28" w:type="dxa"/>
          <w:left w:w="28" w:type="dxa"/>
          <w:bottom w:w="28" w:type="dxa"/>
          <w:right w:w="28" w:type="dxa"/>
        </w:tblCellMar>
      </w:tblPr>
      <w:tblGrid>
        <w:gridCol w:w="2260"/>
        <w:gridCol w:w="1982"/>
        <w:gridCol w:w="1998"/>
        <w:gridCol w:w="196"/>
        <w:gridCol w:w="691"/>
        <w:gridCol w:w="109"/>
        <w:gridCol w:w="109"/>
        <w:gridCol w:w="109"/>
        <w:gridCol w:w="109"/>
        <w:gridCol w:w="196"/>
        <w:gridCol w:w="691"/>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or disposal of fixed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asset impairment charges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deferred tax balances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(exclusive of acquisitions):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 of property, plant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plant and equipment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short-term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maturity of short-term investments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 of a business, net of cash acquired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for the issuance of common stock under the ESPP</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for RSUs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and borrowings under debt agreements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Reimbursement of debt issuance and other financing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and other financing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purchase of bond hedges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warrants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lease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 (Note 6)</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 (Note 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 Background and Basis of Presentation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Semiconductor Corporation ("onsemi," "we," "us," "our," or the "Company"), with its wholly and majority-owned subsidiaries, operates under the onsemi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brand. The Company is organized into three operating and reportable segments: the Power Solutions Group ("PSG"), the Analog and Mixed-Signal Group ("AMG"), and the Intelligent Sensing Group ("ISG").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fiscal calendar year begins on January 1 and ends on December 31, with each fiscal quarter containing a thirteen-week accounting period. The quarters ended July 3, 2026 and July 4, 2025 each contained 91 days. The six months ended July 3, 2026 and July 4, 2025 contained 184 days and 185 days,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accompanying unaudited financial statements as of and for the quarter and six months ended July 3, 2026 have been prepared following generally accepted accounting principles in the United States of America ("GAAP") for interim financial reporting and the rules and regulations of the SEC for interim reporting. Accordingly, the unaudited financial statements </w:t>
      </w:r>
      <w:r>
        <w:rPr>
          <w:rFonts w:ascii="Times New Roman;serif" w:hAnsi="Times New Roman;serif"/>
          <w:b w:val="false"/>
          <w:color w:val="000000"/>
          <w:sz w:val="20"/>
          <w:shd w:fill="FFFFFF" w:val="clear"/>
        </w:rPr>
        <w:t xml:space="preserve">do not </w:t>
      </w:r>
      <w:r>
        <w:rPr>
          <w:rFonts w:ascii="Times New Roman;serif" w:hAnsi="Times New Roman;serif"/>
          <w:b w:val="false"/>
          <w:color w:val="000000"/>
          <w:sz w:val="20"/>
        </w:rPr>
        <w:t xml:space="preserve">include all of the information and footnotes required by GAAP for audited financial statements. The balance sheet as of December 31, 2025 was derived from the Company's audited financial statements but does not include all disclosures required by GAAP for annual financial statements. In management's opinion, the interim information contains all adjustments, which include normal recurring adjustments necessary for a fair statement of the results for the interim periods. The footnote disclosures related to the interim financial information contained herein are also unaudited. Such financial information should be read in conjunction with the consolidated financial statements and related notes thereto for the year ended December 31, 2025, included in the Company's Annual Report on Form 10-K for the year ended December 31, 2025, which was filed with the SEC on February 9, 2026 (the "2025 Form 10-K").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GAAP requires management to make estimates and assumptions that affect the reported amount of assets and liabilities as of the date of the financial statements and the reported amount of revenue and expenses during the reporting period. Management evaluates these estimates and judgments on an ongoing basis and bases its estimates on experience, current and expected future conditions, third-party evaluations and various other assumptions that management believes are reasonable under the circumstances. Significant estimates have been used by management in conjunction with the following: (i) calculation of future payouts for customer incentives and amounts subject to allowances and returns; (ii) valuation and obsolescence relating to inventories; (iii) measurement of valuation allowances against deferred tax assets and evaluations of uncertain tax positions; (iv) assumptions used in business combinations and the valuation of assets held-for-sale; and (v) testing for impairment of long-lived assets and goodwill. Actual results may differ from the estimates and assumptions used in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Definitive Agreement to Acquire Synaptics Incorporated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25, 2026, the Company entered into an Agreement and Plan of Reorganization (the "Merger Agreement") with Sonic Acquisition Corp., a Delaware corporation and a wholly owned subsidiary of the Company, and Synaptics Incorporated ("Synaptics"), pursuant to which Sonic Acquisition Corp. will merge with and into Synaptics, with Synaptics surviving the merger and becoming a wholly owned subsidiary of the Company. At the effective time of the merger, each outstanding share of Synaptics common stock (subject to limited exceptions identified in the Merger Agreement) will be converted into the right to receive 1.350 shares of the Company's common stock, par value $0.01 per share. The shares to be issued in connection with the merger will be registered pursuant to a registration statement on Form S-4 to be filed by the Company and will be issued from the Company's authorized but unissued shares. Based on this exchange ratio, the Company expects Synaptics stockholders will own approximately 12% of the combined company on a pro forma basis upon the closing. The Company's Board of Directors unanimously approved the Merger Agreement and the issuance of the Company's common stock, par value $0.01 per share in connection with the merger. The transaction is expected to close in mid-2027, subject to approval by Synaptics stockholders, the receipt of required regulatory approvals and other customary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certain termination rights for each of the Company and Synaptics. In certain circumstances in which the Merger Agreement is terminated, Synaptics may be required to pay the Company a termination fee of $235.0 million, including if the Merger Agreement is terminated by the Company due to a change of recommendation by the Synaptics’ board of directors, or by Synaptics to enter into a more favorable third-party acquisition proposal, as more fully described in the Merger Agreement. In certain circumstances in which the Merger Agreement is terminated due to the failure to obtain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approvals or following an injunction arising in connection with certain antitrust or foreign investment laws, the Company may be required to pay Synaptics a termination fee of $320.0 million, as more fully described in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parties’ HSR notifications were filed with the Federal Trade Commission ("FTC") and Department of Justice ("DOJ") on July 17, 2026. The 30-day waiting period following the parties’ filings expires at 11:59 pm, Eastern Time, on August 17, 2026, unless extended by the issuance of a Second Request or earlier terminated by the FTC and DOJ.</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2: Segments and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into three operating and reportable segments consisting of PSG, AMG and ISG. These segments represent management's view of the business for which separate financial information is available and evaluated regularly by the Chief Operating Decision Maker ("CODM"), who is the Company’s Chief Executive Officer. The CODM uses segment gross profit for evaluating product pricing, factory utilization, allocation of capital and the assessment of segment profitability.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and gross profit for the operating and reportable segments were as follows (in millions): </w:t>
      </w:r>
    </w:p>
    <w:tbl>
      <w:tblPr>
        <w:tblW w:w="8490" w:type="dxa"/>
        <w:jc w:val="left"/>
        <w:tblInd w:w="0" w:type="dxa"/>
        <w:tblLayout w:type="fixed"/>
        <w:tblCellMar>
          <w:top w:w="28" w:type="dxa"/>
          <w:left w:w="28" w:type="dxa"/>
          <w:bottom w:w="28" w:type="dxa"/>
          <w:right w:w="28" w:type="dxa"/>
        </w:tblCellMar>
      </w:tblPr>
      <w:tblGrid>
        <w:gridCol w:w="1183"/>
        <w:gridCol w:w="1041"/>
        <w:gridCol w:w="1046"/>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 ended July 3, 2026:</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 ended July 4, 2025:</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July 3, 2026:</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July 4, 2025:</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gross profit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one customer, a distributor, whose revenue accounted for approximately 14% and 12% of total revenue for the quarters ended July 3, 2026 and July 4, 2025, respectively, and approximately 13% and 11% of the total revenue for the six months ended July 3, 2026 and July 4, 2025, respectively, across all reportable segments. No single customer accounted for more than 10% of the Company's accounts receivable balance as of July 3, 2026, and one customer, a distributor, accounted for approximately 10% of the Company's accounts receivable balance as of December 31,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operating and reportable segments disaggregated into geographic locations based on sales billed from the respective country and sales channel was as follows (in millions):</w:t>
      </w:r>
    </w:p>
    <w:tbl>
      <w:tblPr>
        <w:tblW w:w="7215" w:type="dxa"/>
        <w:jc w:val="left"/>
        <w:tblInd w:w="0" w:type="dxa"/>
        <w:tblLayout w:type="fixed"/>
        <w:tblCellMar>
          <w:top w:w="28" w:type="dxa"/>
          <w:left w:w="28" w:type="dxa"/>
          <w:bottom w:w="28" w:type="dxa"/>
          <w:right w:w="28" w:type="dxa"/>
        </w:tblCellMar>
      </w:tblPr>
      <w:tblGrid>
        <w:gridCol w:w="723"/>
        <w:gridCol w:w="634"/>
        <w:gridCol w:w="638"/>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 July 3, 2026</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Geographic Location: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Channel:</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 2026</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Geographic Location: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Channel:</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7215" w:type="dxa"/>
        <w:jc w:val="center"/>
        <w:tblInd w:w="0" w:type="dxa"/>
        <w:tblLayout w:type="fixed"/>
        <w:tblCellMar>
          <w:top w:w="28" w:type="dxa"/>
          <w:left w:w="28" w:type="dxa"/>
          <w:bottom w:w="28" w:type="dxa"/>
          <w:right w:w="28" w:type="dxa"/>
        </w:tblCellMar>
      </w:tblPr>
      <w:tblGrid>
        <w:gridCol w:w="723"/>
        <w:gridCol w:w="634"/>
        <w:gridCol w:w="638"/>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 July 4,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Geographic Location: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Channel:</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4,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Geographic Location: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Channel:</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operates in various geographic locations. Sales to external customers have little correlation to where products are manufactured or the location of the end-customer. It is, therefore, not meaningful to present operating profit by geographical 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 is derived primarily from product sales and to a much lesser extent from product development agreements and non-recurring engineering ("NRE") arrangements. For each of the quarters and six months ended July 3, 2026 and July 4, 2025, revenue recognized from product sales as a percentage of total revenue was approximately 100%, and revenue recognized from product development agreements and NRE arrangements was an immaterial amount.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Revenue disaggregated by end-markets and product technologies was as follows (in millions):</w:t>
      </w:r>
    </w:p>
    <w:tbl>
      <w:tblPr>
        <w:tblW w:w="9922" w:type="dxa"/>
        <w:jc w:val="left"/>
        <w:tblInd w:w="0" w:type="dxa"/>
        <w:tblLayout w:type="fixed"/>
        <w:tblCellMar>
          <w:top w:w="28" w:type="dxa"/>
          <w:left w:w="28" w:type="dxa"/>
          <w:bottom w:w="28" w:type="dxa"/>
          <w:right w:w="28" w:type="dxa"/>
        </w:tblCellMar>
      </w:tblPr>
      <w:tblGrid>
        <w:gridCol w:w="733"/>
        <w:gridCol w:w="645"/>
        <w:gridCol w:w="646"/>
        <w:gridCol w:w="310"/>
        <w:gridCol w:w="1128"/>
        <w:gridCol w:w="160"/>
        <w:gridCol w:w="160"/>
        <w:gridCol w:w="160"/>
        <w:gridCol w:w="160"/>
        <w:gridCol w:w="310"/>
        <w:gridCol w:w="1128"/>
        <w:gridCol w:w="160"/>
        <w:gridCol w:w="160"/>
        <w:gridCol w:w="160"/>
        <w:gridCol w:w="160"/>
        <w:gridCol w:w="310"/>
        <w:gridCol w:w="1128"/>
        <w:gridCol w:w="160"/>
        <w:gridCol w:w="160"/>
        <w:gridCol w:w="160"/>
        <w:gridCol w:w="160"/>
        <w:gridCol w:w="310"/>
        <w:gridCol w:w="1128"/>
        <w:gridCol w:w="226"/>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End-Markets:</w:t>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22"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Other includes the end-markets of computing (including AI data center), consumer, networking, communications, etc.</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Technologies:</w:t>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Intelligent Power</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Intelligent Sensing</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by end-markets and product technologies is determined using known customer applications and other available information. For certain sales, primarily to distributors, when the ultimate application is not known at the time of sale, these are estimated based on historical trends and other relevant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portion of the Company's orders are firm commitments that are non-cancellable, including certain orders or contracts with a duration of less than one year. Certain of the Company's customer contracts are multi-year agreements that include committed amounts ("Long-term Supply Agreements" or "LTSAs") for which the remaining performance obligations as of July 3, 2026 were approximately $6.1 billion (excluding the remaining performance obligations for contracts having a duration of one year or less). If products are shipped according to the terms of these contracts, the Company expects to recognize approximately 37% of this amount as revenue over the next 12 months. Total revenue estimates are based on negotiated contract prices and demand quantities, and could be influenced by risks and uncertainties, including manufacturing or supply chain constraints, modifications to customer agreements, and regulatory changes, among other factors. The timing, pricing or amounts of products delivered under LTSAs may be modified or canceled in certain circumstances, and the actual revenue recognized for the remaining performance obligations in future periods may significantly differ from current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LTSAs include non-cancellable capacity payments from the customer, which are generally due within 30 days of the agreement. These payments reserve production availability or are prepayments for the same purpose and are not recognized as revenue until the performance obligations are satisfied. Payments received in advance of the satisfaction of performance obligations are recorded as contract liabilities. The Company fulfilled certain performance obligations and recognized revenue of $12.9 million and $24.4 million for each of the quarters ended July 3, 2026 and July 4, 2025, respectively, and $28.3 million and $48.4 million for the six months ended July 3, 2026 and July 4, 2025, respectively, related to contract liabilities outstanding as of the end of each respective prior year.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were as follows (in millions):</w:t>
      </w:r>
    </w:p>
    <w:tbl>
      <w:tblPr>
        <w:tblW w:w="6761" w:type="dxa"/>
        <w:jc w:val="left"/>
        <w:tblInd w:w="0" w:type="dxa"/>
        <w:tblLayout w:type="fixed"/>
        <w:tblCellMar>
          <w:top w:w="28" w:type="dxa"/>
          <w:left w:w="28" w:type="dxa"/>
          <w:bottom w:w="28" w:type="dxa"/>
          <w:right w:w="28" w:type="dxa"/>
        </w:tblCellMar>
      </w:tblPr>
      <w:tblGrid>
        <w:gridCol w:w="1383"/>
        <w:gridCol w:w="1218"/>
        <w:gridCol w:w="1224"/>
        <w:gridCol w:w="259"/>
        <w:gridCol w:w="627"/>
        <w:gridCol w:w="133"/>
        <w:gridCol w:w="109"/>
        <w:gridCol w:w="109"/>
        <w:gridCol w:w="109"/>
        <w:gridCol w:w="342"/>
        <w:gridCol w:w="999"/>
        <w:gridCol w:w="249"/>
      </w:tblGrid>
      <w:tr>
        <w:trPr/>
        <w:tc>
          <w:tcPr>
            <w:tcW w:w="138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included in:</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included in:</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Recent Accounting Pronouncements and Other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Pending Adoption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Statement (Subtopic 220-40): Reporting Comprehensive Income - Expense Disaggregation Disclosures ("ASU 2024-03")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which requires public business entities to expand disclosures about specific expense categories. The amendments in this ASU require a public entity to disclose, in tabular format, in the notes to the financial statements, specific information about certain costs and expenses. Although the ASU does not change the expense captions an entity presents on the face of the statement of operations, it requires disaggregation of certain expense captions into specified categories. For public business entities, the provisions of ASU 2024-03 are effective for fiscal years beginning after December 15, 2026. Early adoption is permitted. Management is currently evaluating the requirements under this new standard.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Intangibles - Goodwill and Other - Internal-Use Software (Subtopic 350-40): Targeted Improvements to the Accounting for Internal-Use Software ("ASU 2025-06")</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September 2025, the FASB issued ASU 2025-06 to modernize the accounting for software costs that are accounted for under Subtopic 350-40, </w:t>
      </w:r>
      <w:r>
        <w:rPr>
          <w:rFonts w:ascii="Times New Roman;serif" w:hAnsi="Times New Roman;serif"/>
          <w:b w:val="false"/>
          <w:i/>
          <w:color w:val="000000"/>
          <w:sz w:val="20"/>
        </w:rPr>
        <w:t>Intangibles - Goodwill and Other - Internal-Use Software</w:t>
      </w:r>
      <w:r>
        <w:rPr>
          <w:rFonts w:ascii="Times New Roman;serif" w:hAnsi="Times New Roman;serif"/>
          <w:b w:val="false"/>
          <w:color w:val="000000"/>
          <w:sz w:val="20"/>
        </w:rPr>
        <w:t>. The guidance removes all references to project stages throughout ASC 350-40 and clarifies the threshold that entities apply to begin capitalizing costs. For public business entities, the provisions of ASU 2025-06 are effective for fiscal years beginning after December 15, 2027, and interim reporting periods within those annual reporting periods. Early adoption is permitted. Management is currently evaluating the requirements under this new standard.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Derivatives and Hedging (Topic 815): Hedge Accounting Improvements (ASU "2025-09")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2025-09 to amend certain aspects of its hedge accounting guidance to better reflect an entity’s risk management activities in the financial statements. The guidance expands the hedged risks permitted to be aggregated in a group of individual forecasted transactions and increases the variable price components eligible to be designated as the hedged risk in the forecasted purchase or sale of nonfinancial assets. For public business entities, the provisions of ASU 2025-09 are effective for fiscal years beginning after December 15, 2026. Early adoption is permitted. Management is currently evaluating the requirements under this new standard.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Government Grants (Topic 832): Accounting for Government Grants Received by Business Entities (ASU "2025-10")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to establish the accounting for a government grant received by a business entity, including guidance for (1) a grant related to an asset and (2) a grant related to income. For public business entities, the provisions of ASU 2025-10 are effective for fiscal years beginning after December 15, 2028. Early adoption is permitted. Management is currently evaluating the requirements under this new standard and does not expect the adoption to have a material impact on the Company's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Environmental Credits and Environmental Credit Obligations (Topic 818) (ASU "2026-02")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2026-02 to improve the financial accounting for and disclosure of activities related to environmental credits and environmental credit obligations. ASU 2026-02 provides recognition, measurement, presentation, and disclosure requirements for all entities that generate, purchase, or receive environmental credits or have a regulatory compliance obligation that may be settled with environmental credits. For public business entities, the provisions of ASU 2026-02 are effective for fiscal years beginning after December 15, 2027, and interim reporting periods within those annual reporting periods. Early adoption is permitted. Management is currently evaluating the requirements under this new standard.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Company’s accounting for its 2025 business combinations since December 31, 2025. The purchase accounting for the acquisition of rights to Vcore power technologies, including associated intellectual property licenses, from Aura Semiconductor, which was considered preliminary as of December 31, 2025, was final as of April 3, 2026, with no changes to the previous purchase price allocation.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4, 2026, the Company completed the acquisition of rights to the RISC-V processor IP enterprise from Codasip s.r.o. The acquisition, which has been accounted for as a business combination, is intended to accelerate the Company's compute capabilities through acquired RISC-V cores, Codasip Studio EDA tools, supporting IP, and an organized workforce. Total purchase consideration is up to $14.5 million in cash, including $1.45 million withheld and payable upon IP acceptance and completion of the contractual defect remediation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Divestitures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July 3, 2026, the Company entered into a definitive agreement to sell a manufacturing facility in the Philippines for $25 million in cash, subject to customary closing adjustments and conditions. This divestiture is expected to close during the third quarter of 2026. As of July 3, 2026, the assets associated with the facility did not meet the criteria for classification as held-for-sale, and accordingly, the Company continues to account for these assets as held-and-used.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7, 2026, subsequent to the end of the second quarter, the Company entered into a definitive agreement to sell its manufacturing facility in Mountain Top, PA for $40 million in cash, subject to customary closing adjustments and conditions, and received a $10 million deposit. The Company will continue operating the facility through 2027 to support the transfer of production to other manufacturing sites, with the sale and transfer of ownership expected to occur in the first quarter of 2028. As of July 3, 2026, the facility did not meet the criteria for classification as held-for-sale, and accordingly, the Company continues to account for these assets as held-and-used.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Restructuring, Asset Impairments and Other,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Details of restructuring, asset impairments and other, net were as follows (in millions):    </w:t>
      </w:r>
    </w:p>
    <w:tbl>
      <w:tblPr>
        <w:tblW w:w="10023" w:type="dxa"/>
        <w:jc w:val="left"/>
        <w:tblInd w:w="0" w:type="dxa"/>
        <w:tblLayout w:type="fixed"/>
        <w:tblCellMar>
          <w:top w:w="28" w:type="dxa"/>
          <w:left w:w="28" w:type="dxa"/>
          <w:bottom w:w="28" w:type="dxa"/>
          <w:right w:w="28" w:type="dxa"/>
        </w:tblCellMar>
      </w:tblPr>
      <w:tblGrid>
        <w:gridCol w:w="1308"/>
        <w:gridCol w:w="1151"/>
        <w:gridCol w:w="1156"/>
        <w:gridCol w:w="344"/>
        <w:gridCol w:w="663"/>
        <w:gridCol w:w="179"/>
        <w:gridCol w:w="109"/>
        <w:gridCol w:w="109"/>
        <w:gridCol w:w="109"/>
        <w:gridCol w:w="400"/>
        <w:gridCol w:w="968"/>
        <w:gridCol w:w="207"/>
        <w:gridCol w:w="109"/>
        <w:gridCol w:w="109"/>
        <w:gridCol w:w="109"/>
        <w:gridCol w:w="316"/>
        <w:gridCol w:w="766"/>
        <w:gridCol w:w="163"/>
        <w:gridCol w:w="109"/>
        <w:gridCol w:w="109"/>
        <w:gridCol w:w="109"/>
        <w:gridCol w:w="211"/>
        <w:gridCol w:w="511"/>
        <w:gridCol w:w="109"/>
        <w:gridCol w:w="109"/>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 ended July 3, 2026:</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Manufacturing Realignment Program</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 ended July 4, 2025:</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Manufacturing Realignment Program</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Business Realignment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9883" w:type="dxa"/>
        <w:jc w:val="left"/>
        <w:tblInd w:w="0" w:type="dxa"/>
        <w:tblLayout w:type="fixed"/>
        <w:tblCellMar>
          <w:top w:w="28" w:type="dxa"/>
          <w:left w:w="28" w:type="dxa"/>
          <w:bottom w:w="28" w:type="dxa"/>
          <w:right w:w="28" w:type="dxa"/>
        </w:tblCellMar>
      </w:tblPr>
      <w:tblGrid>
        <w:gridCol w:w="1309"/>
        <w:gridCol w:w="1148"/>
        <w:gridCol w:w="1158"/>
        <w:gridCol w:w="323"/>
        <w:gridCol w:w="784"/>
        <w:gridCol w:w="169"/>
        <w:gridCol w:w="109"/>
        <w:gridCol w:w="109"/>
        <w:gridCol w:w="109"/>
        <w:gridCol w:w="377"/>
        <w:gridCol w:w="1106"/>
        <w:gridCol w:w="197"/>
        <w:gridCol w:w="109"/>
        <w:gridCol w:w="109"/>
        <w:gridCol w:w="109"/>
        <w:gridCol w:w="304"/>
        <w:gridCol w:w="889"/>
        <w:gridCol w:w="157"/>
        <w:gridCol w:w="109"/>
        <w:gridCol w:w="109"/>
        <w:gridCol w:w="109"/>
        <w:gridCol w:w="211"/>
        <w:gridCol w:w="61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July 3, 2026:</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Manufacturing Realignment Program</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July 4, 2025:</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Manufacturing Realignment Program</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Business Realignment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changes in the accrued restructuring balance by program was as follows (in millions):</w:t>
      </w:r>
    </w:p>
    <w:tbl>
      <w:tblPr>
        <w:tblW w:w="8941" w:type="dxa"/>
        <w:jc w:val="left"/>
        <w:tblInd w:w="0" w:type="dxa"/>
        <w:tblLayout w:type="fixed"/>
        <w:tblCellMar>
          <w:top w:w="28" w:type="dxa"/>
          <w:left w:w="28" w:type="dxa"/>
          <w:bottom w:w="28" w:type="dxa"/>
          <w:right w:w="28" w:type="dxa"/>
        </w:tblCellMar>
      </w:tblPr>
      <w:tblGrid>
        <w:gridCol w:w="1309"/>
        <w:gridCol w:w="1150"/>
        <w:gridCol w:w="1155"/>
        <w:gridCol w:w="449"/>
        <w:gridCol w:w="864"/>
        <w:gridCol w:w="232"/>
        <w:gridCol w:w="109"/>
        <w:gridCol w:w="109"/>
        <w:gridCol w:w="109"/>
        <w:gridCol w:w="211"/>
        <w:gridCol w:w="511"/>
        <w:gridCol w:w="109"/>
        <w:gridCol w:w="109"/>
        <w:gridCol w:w="109"/>
        <w:gridCol w:w="109"/>
        <w:gridCol w:w="211"/>
        <w:gridCol w:w="586"/>
        <w:gridCol w:w="109"/>
        <w:gridCol w:w="109"/>
        <w:gridCol w:w="109"/>
        <w:gridCol w:w="109"/>
        <w:gridCol w:w="291"/>
        <w:gridCol w:w="561"/>
        <w:gridCol w:w="212"/>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Manufacturing Realignment Program</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Manufacturing Realignment Program</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recorded under the 2026 Manufacturing Realignment Program represent new restructuring activities that expand upon the Company’s 2025 Manufacturing Realignment Program for actions and decisions taken in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Manufacturing Realignment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and six months ended July 3, 2026, the Company continued to engage in additional restructuring and cost reduction initiatives under its previously disclosed multi</w:t>
        <w:noBreakHyphen/>
        <w:t>year manufacturing realignment program to better align manufacturing capacity and capabilities with anticipated long</w:t>
        <w:noBreakHyphen/>
        <w:t xml:space="preserve">term needs. These initiatives resulted in a reduction of global workforce, impairments of certain long-lived assets that met the held-for-sale criteria, and certain other charges primarily relating to the accelerated amortization and depreciation of assets for actions taken previously, during the quarter and six months ended July 3,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Restructuring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charges include estimated severance payments and related benefit expenses for employees who were notified of their employment termination or terminated during the period.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as part of the 2026 Manufacturing Realignment Program, the Company initiated a restructuring plan to further reduce its global workforce by approximately 650 employees, and, in connection with such plan, the Company expects to incur total severance and other related benefit expenses of approximately $25 million in 2026. Of this, approximately $2.5 million and $22.7 million was recognized during the quarter and six months ended July 3, 2026, respectively, with the remaining amount expected to be recognized during the remainder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the aggregate expenses relating to these actions, the Company paid approximately $18.6 million to approximately 600 terminated employees and had approximately $4.1 million accrued as of July 3,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Asset Impairment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impairment charges of $16.3 million and $163.3 million during the quarter and six months ended July 3, 2026, respectively, related to previous investments in manufacturing equipment at certain manufacturing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held-for-sale accounting guidance due to the assets no longer being needed to meet anticipated long-term customer demand. Of the $163.3 million of asset impairment charges, $80.6 million and $69.1 million were for assets held in South Korea and the Czech Republic, respectively. During the respective quarters in 2026, it was determined that the assets identified by the Company met all criteria to be classified as assets held-for-sale with the expectation that these assets would be disposed of within 12 months from the end of the quarter. The impairment charges were determined as the difference between the carrying value of these long-lived assets and their estimated fair values, less estimated costs to sell such assets. Fair values were determined primarily by using unobservable inputs such as estimated sales prices based on available market prices, underlying equipment condition and market demand for similar equipment, inputs categorized as Level 3 within the fair value hierarchy. The Company utilized a third-party valuation specialist to assist in the determination of assets held-for-sale. Fair value was estimated primarily using market and income approaches, including third-party appraisals where available. Key unobservable inputs included expected sales proceeds, estimated equipment condition, and discount adjustments for certain specialized tooling.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impairment charges for manufacturing equipment may be incurred in future periods pursuant to the timing of meeting the necessary criteria for being classified as held-for-sale.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charges amounted to $22.4 million and $184.5 million for the quarter and six months ended July 3, 2026, respectively. The charges for the quarter ended July 3, 2026 primarily relate to contract termination costs and other facility exit activities associated with the restructuring programs. Of the $184.5 million for the six months ended July 3, 2026, $81.7 million and $54.8 million related to the accelerated depreciation and amortization of one lease in each of the Czech Republic and the United States, respectively, that were abandoned in connection with the 2025 and 2026 Manufacturing Realignment Programs. The identified assets were fully depreciated and amortized as of April 3,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recorded $13.4 million of restructuring-related charges for the quarter ended July 3, 2026 within Cost of revenue in the Consolidated Statement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evaluate for potential operating improvements and efficiencies.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6: Balance Sheet Information and Other Supplemental Disclosures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annually on the first day of the fourth quarter or more frequently if events or changes in circumstances would more likely-than-not reduce the fair value of a reporting unit below its carrying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goodwill by operating and reportable segments (in millions): </w:t>
      </w:r>
    </w:p>
    <w:tbl>
      <w:tblPr>
        <w:tblW w:w="8606" w:type="dxa"/>
        <w:jc w:val="left"/>
        <w:tblInd w:w="0" w:type="dxa"/>
        <w:tblLayout w:type="fixed"/>
        <w:tblCellMar>
          <w:top w:w="28" w:type="dxa"/>
          <w:left w:w="28" w:type="dxa"/>
          <w:bottom w:w="28" w:type="dxa"/>
          <w:right w:w="28" w:type="dxa"/>
        </w:tblCellMar>
      </w:tblPr>
      <w:tblGrid>
        <w:gridCol w:w="1217"/>
        <w:gridCol w:w="1070"/>
        <w:gridCol w:w="1072"/>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Balances as of December 31, 2025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 related to 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Balances as of July 3, 2026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Net of accumulated goodwill impairment losses of $31.9 million in the PSG reportable segment and $748.9 million in the AMG reportable segment as of July 3,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Details of inventories were as follows (in millions):</w:t>
      </w:r>
    </w:p>
    <w:tbl>
      <w:tblPr>
        <w:tblW w:w="4427" w:type="dxa"/>
        <w:jc w:val="left"/>
        <w:tblInd w:w="0" w:type="dxa"/>
        <w:tblLayout w:type="fixed"/>
        <w:tblCellMar>
          <w:top w:w="28" w:type="dxa"/>
          <w:left w:w="28" w:type="dxa"/>
          <w:bottom w:w="28" w:type="dxa"/>
          <w:right w:w="28" w:type="dxa"/>
        </w:tblCellMar>
      </w:tblPr>
      <w:tblGrid>
        <w:gridCol w:w="516"/>
        <w:gridCol w:w="454"/>
        <w:gridCol w:w="455"/>
        <w:gridCol w:w="211"/>
        <w:gridCol w:w="766"/>
        <w:gridCol w:w="109"/>
        <w:gridCol w:w="109"/>
        <w:gridCol w:w="109"/>
        <w:gridCol w:w="109"/>
        <w:gridCol w:w="296"/>
        <w:gridCol w:w="1077"/>
        <w:gridCol w:w="2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Defined Benefit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aggregate amount of all over-funded plans as assets and the aggregate amount of all underfunded plans as liabilities in its financial statements. As of July 3, 2026, the net assets for the over-funded plans totaled $29.6 million. The total accrued pension liability for underfunded plans was $56.5 million, of which the current portion of $0.5 million was classified as Accrued expenses and other current liabilities. As of December 31, 2025, the net funded status for all the plans was a liability of $26.4 million, of which the current portion of $1.5 million was classified as Accrued expenses and other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the net periodic pension expense were as follows (in millions):</w:t>
      </w:r>
    </w:p>
    <w:tbl>
      <w:tblPr>
        <w:tblW w:w="7682" w:type="dxa"/>
        <w:jc w:val="left"/>
        <w:tblInd w:w="0" w:type="dxa"/>
        <w:tblLayout w:type="fixed"/>
        <w:tblCellMar>
          <w:top w:w="28" w:type="dxa"/>
          <w:left w:w="28" w:type="dxa"/>
          <w:bottom w:w="28" w:type="dxa"/>
          <w:right w:w="28" w:type="dxa"/>
        </w:tblCellMar>
      </w:tblPr>
      <w:tblGrid>
        <w:gridCol w:w="933"/>
        <w:gridCol w:w="820"/>
        <w:gridCol w:w="827"/>
        <w:gridCol w:w="296"/>
        <w:gridCol w:w="570"/>
        <w:gridCol w:w="153"/>
        <w:gridCol w:w="109"/>
        <w:gridCol w:w="109"/>
        <w:gridCol w:w="109"/>
        <w:gridCol w:w="296"/>
        <w:gridCol w:w="570"/>
        <w:gridCol w:w="153"/>
        <w:gridCol w:w="109"/>
        <w:gridCol w:w="109"/>
        <w:gridCol w:w="109"/>
        <w:gridCol w:w="296"/>
        <w:gridCol w:w="570"/>
        <w:gridCol w:w="153"/>
        <w:gridCol w:w="109"/>
        <w:gridCol w:w="109"/>
        <w:gridCol w:w="109"/>
        <w:gridCol w:w="291"/>
        <w:gridCol w:w="561"/>
        <w:gridCol w:w="212"/>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losses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arrangements are comprised primarily of real estate and equipment agreements. The components of lease expense (including accelerated amortization related to ROU asset abandonment discussed in Note 5) were as follows (in millions):</w:t>
      </w:r>
    </w:p>
    <w:tbl>
      <w:tblPr>
        <w:tblW w:w="6526" w:type="dxa"/>
        <w:jc w:val="left"/>
        <w:tblInd w:w="0" w:type="dxa"/>
        <w:tblLayout w:type="fixed"/>
        <w:tblCellMar>
          <w:top w:w="28" w:type="dxa"/>
          <w:left w:w="28" w:type="dxa"/>
          <w:bottom w:w="28" w:type="dxa"/>
          <w:right w:w="28" w:type="dxa"/>
        </w:tblCellMar>
      </w:tblPr>
      <w:tblGrid>
        <w:gridCol w:w="515"/>
        <w:gridCol w:w="453"/>
        <w:gridCol w:w="456"/>
        <w:gridCol w:w="259"/>
        <w:gridCol w:w="627"/>
        <w:gridCol w:w="133"/>
        <w:gridCol w:w="109"/>
        <w:gridCol w:w="109"/>
        <w:gridCol w:w="109"/>
        <w:gridCol w:w="259"/>
        <w:gridCol w:w="627"/>
        <w:gridCol w:w="133"/>
        <w:gridCol w:w="109"/>
        <w:gridCol w:w="109"/>
        <w:gridCol w:w="109"/>
        <w:gridCol w:w="259"/>
        <w:gridCol w:w="627"/>
        <w:gridCol w:w="133"/>
        <w:gridCol w:w="109"/>
        <w:gridCol w:w="109"/>
        <w:gridCol w:w="109"/>
        <w:gridCol w:w="256"/>
        <w:gridCol w:w="621"/>
        <w:gridCol w:w="187"/>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operating lease liabilities and operating ROU assets recognized in the Consolidated Balance Sheets were as follows (in millions):</w:t>
      </w:r>
    </w:p>
    <w:tbl>
      <w:tblPr>
        <w:tblW w:w="6761" w:type="dxa"/>
        <w:jc w:val="left"/>
        <w:tblInd w:w="0" w:type="dxa"/>
        <w:tblLayout w:type="fixed"/>
        <w:tblCellMar>
          <w:top w:w="28" w:type="dxa"/>
          <w:left w:w="28" w:type="dxa"/>
          <w:bottom w:w="28" w:type="dxa"/>
          <w:right w:w="28" w:type="dxa"/>
        </w:tblCellMar>
      </w:tblPr>
      <w:tblGrid>
        <w:gridCol w:w="1385"/>
        <w:gridCol w:w="1216"/>
        <w:gridCol w:w="1224"/>
        <w:gridCol w:w="230"/>
        <w:gridCol w:w="671"/>
        <w:gridCol w:w="118"/>
        <w:gridCol w:w="109"/>
        <w:gridCol w:w="109"/>
        <w:gridCol w:w="109"/>
        <w:gridCol w:w="342"/>
        <w:gridCol w:w="999"/>
        <w:gridCol w:w="249"/>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included in:</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ROU assets included in:</w:t>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3, 2026, the weighted-average remaining lease terms were 11.5 years and 17.3 years, and the weighted-average discount rates were 5.2% and 5.8%, for operating leases and financing leases,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Supplemental Disclosure of Cash Flow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the cash and non-cash activities were as follows (in millions):</w:t>
      </w:r>
    </w:p>
    <w:tbl>
      <w:tblPr>
        <w:tblW w:w="8691" w:type="dxa"/>
        <w:jc w:val="left"/>
        <w:tblInd w:w="0" w:type="dxa"/>
        <w:tblLayout w:type="fixed"/>
        <w:tblCellMar>
          <w:top w:w="28" w:type="dxa"/>
          <w:left w:w="28" w:type="dxa"/>
          <w:bottom w:w="28" w:type="dxa"/>
          <w:right w:w="28" w:type="dxa"/>
        </w:tblCellMar>
      </w:tblPr>
      <w:tblGrid>
        <w:gridCol w:w="2159"/>
        <w:gridCol w:w="1894"/>
        <w:gridCol w:w="1901"/>
        <w:gridCol w:w="259"/>
        <w:gridCol w:w="627"/>
        <w:gridCol w:w="133"/>
        <w:gridCol w:w="109"/>
        <w:gridCol w:w="109"/>
        <w:gridCol w:w="109"/>
        <w:gridCol w:w="230"/>
        <w:gridCol w:w="671"/>
        <w:gridCol w:w="118"/>
        <w:gridCol w:w="109"/>
        <w:gridCol w:w="109"/>
        <w:gridCol w:w="154"/>
      </w:tblGrid>
      <w:tr>
        <w:trPr/>
        <w:tc>
          <w:tcPr>
            <w:tcW w:w="215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 accounts payable and other long-term liabilities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ROU assets obtained in exchange for lease liabilities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payments in operating cash flows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the captions in the Consolidated Balance Sheets to the Consolidated Statements of Cash Flows (in millions):</w:t>
      </w:r>
    </w:p>
    <w:tbl>
      <w:tblPr>
        <w:tblW w:w="10205" w:type="dxa"/>
        <w:jc w:val="left"/>
        <w:tblInd w:w="0" w:type="dxa"/>
        <w:tblLayout w:type="fixed"/>
        <w:tblCellMar>
          <w:top w:w="28" w:type="dxa"/>
          <w:left w:w="28" w:type="dxa"/>
          <w:bottom w:w="28" w:type="dxa"/>
          <w:right w:w="28" w:type="dxa"/>
        </w:tblCellMar>
      </w:tblPr>
      <w:tblGrid>
        <w:gridCol w:w="1569"/>
        <w:gridCol w:w="1379"/>
        <w:gridCol w:w="1388"/>
        <w:gridCol w:w="211"/>
        <w:gridCol w:w="766"/>
        <w:gridCol w:w="109"/>
        <w:gridCol w:w="109"/>
        <w:gridCol w:w="109"/>
        <w:gridCol w:w="109"/>
        <w:gridCol w:w="259"/>
        <w:gridCol w:w="941"/>
        <w:gridCol w:w="133"/>
        <w:gridCol w:w="109"/>
        <w:gridCol w:w="109"/>
        <w:gridCol w:w="109"/>
        <w:gridCol w:w="211"/>
        <w:gridCol w:w="766"/>
        <w:gridCol w:w="109"/>
        <w:gridCol w:w="109"/>
        <w:gridCol w:w="109"/>
        <w:gridCol w:w="109"/>
        <w:gridCol w:w="257"/>
        <w:gridCol w:w="934"/>
        <w:gridCol w:w="192"/>
      </w:tblGrid>
      <w:tr>
        <w:trPr/>
        <w:tc>
          <w:tcPr>
            <w:tcW w:w="15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4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 Consolidated Statements of Cash Flows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2,149.0 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2,693.4 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Long-Term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(in millions, with annualized interest rates):</w:t>
      </w:r>
    </w:p>
    <w:tbl>
      <w:tblPr>
        <w:tblW w:w="7006" w:type="dxa"/>
        <w:jc w:val="left"/>
        <w:tblInd w:w="0" w:type="dxa"/>
        <w:tblLayout w:type="fixed"/>
        <w:tblCellMar>
          <w:top w:w="28" w:type="dxa"/>
          <w:left w:w="28" w:type="dxa"/>
          <w:bottom w:w="28" w:type="dxa"/>
          <w:right w:w="28" w:type="dxa"/>
        </w:tblCellMar>
      </w:tblPr>
      <w:tblGrid>
        <w:gridCol w:w="1451"/>
        <w:gridCol w:w="1272"/>
        <w:gridCol w:w="1281"/>
        <w:gridCol w:w="211"/>
        <w:gridCol w:w="766"/>
        <w:gridCol w:w="109"/>
        <w:gridCol w:w="109"/>
        <w:gridCol w:w="109"/>
        <w:gridCol w:w="109"/>
        <w:gridCol w:w="296"/>
        <w:gridCol w:w="1077"/>
        <w:gridCol w:w="216"/>
      </w:tblGrid>
      <w:tr>
        <w:trPr/>
        <w:tc>
          <w:tcPr>
            <w:tcW w:w="145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due 2028</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0.50% Notes due 2029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 Notes due 2031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 Notes due 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3.875% Notes due 2028 </w:t>
            </w:r>
            <w:r>
              <w:rPr>
                <w:rFonts w:ascii="Times New Roman;serif" w:hAnsi="Times New Roman;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long-term debt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3,004.9 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Unamortized debt discount </w:t>
            </w:r>
            <w:r>
              <w:rPr>
                <w:rFonts w:ascii="Times New Roman;serif" w:hAnsi="Times New Roman;serif"/>
                <w:b w:val="false"/>
                <w:color w:val="000000"/>
                <w:sz w:val="13"/>
              </w:rPr>
              <w:t>(3)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Unamortized debt issuance costs</w:t>
            </w:r>
            <w:r>
              <w:rPr>
                <w:color w:val="000000"/>
              </w:rPr>
              <w:t xml:space="preserve">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long-term debt, including current maturities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2,980.5 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2,980.5 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Interest is payable on March 1 and September 1 of each year at 0.50% annually. </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Interest is payable on March 1 and September 1 of each year at 3.875% annually. </w:t>
      </w:r>
    </w:p>
    <w:p>
      <w:pPr>
        <w:pStyle w:val="TextBody"/>
        <w:bidi w:val="0"/>
        <w:spacing w:lineRule="auto" w:line="288" w:before="0" w:after="60"/>
        <w:ind w:left="0" w:right="0" w:hanging="360"/>
        <w:jc w:val="both"/>
        <w:rPr/>
      </w:pPr>
      <w:r>
        <w:rPr>
          <w:rFonts w:ascii="Times New Roman;serif" w:hAnsi="Times New Roman;serif"/>
          <w:b w:val="false"/>
          <w:color w:val="000000"/>
          <w:sz w:val="13"/>
          <w:shd w:fill="FFFFFF" w:val="clear"/>
        </w:rPr>
        <w:t>(3)</w:t>
      </w:r>
      <w:r>
        <w:rPr>
          <w:rFonts w:ascii="Times New Roman;serif" w:hAnsi="Times New Roman;serif"/>
          <w:b w:val="false"/>
          <w:color w:val="000000"/>
          <w:sz w:val="20"/>
          <w:shd w:fill="FFFFFF" w:val="clear"/>
        </w:rPr>
        <w:t xml:space="preserve">Unamortized debt discount of $1.9 million and $2.5 million for the 3.875% Notes as of July 3, 2026 and December 31, 2025, respectively. </w:t>
      </w:r>
    </w:p>
    <w:p>
      <w:pPr>
        <w:pStyle w:val="TextBody"/>
        <w:bidi w:val="0"/>
        <w:spacing w:lineRule="auto" w:line="288" w:before="0" w:after="0"/>
        <w:ind w:left="0" w:right="0" w:hanging="360"/>
        <w:jc w:val="both"/>
        <w:rPr/>
      </w:pPr>
      <w:r>
        <w:rPr>
          <w:rFonts w:ascii="Times New Roman;serif" w:hAnsi="Times New Roman;serif"/>
          <w:b w:val="false"/>
          <w:color w:val="000000"/>
          <w:sz w:val="13"/>
          <w:shd w:fill="FFFFFF" w:val="clear"/>
        </w:rPr>
        <w:t>(4)</w:t>
      </w:r>
      <w:r>
        <w:rPr>
          <w:rFonts w:ascii="Times New Roman;serif" w:hAnsi="Times New Roman;serif"/>
          <w:b w:val="false"/>
          <w:color w:val="000000"/>
          <w:sz w:val="20"/>
          <w:shd w:fill="FFFFFF" w:val="clear"/>
        </w:rPr>
        <w:t>Unamortized debt issuance costs of $14.1 million and $16.5 million for the 0.50% Notes, $26.0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$0.0 million</w:t>
      </w:r>
      <w:r>
        <w:rPr>
          <w:color w:val="000000"/>
        </w:rPr>
        <w:t xml:space="preserve"> </w:t>
      </w:r>
      <w:r>
        <w:rPr>
          <w:rFonts w:ascii="Times New Roman;serif" w:hAnsi="Times New Roman;serif"/>
          <w:b w:val="false"/>
          <w:color w:val="000000"/>
          <w:sz w:val="20"/>
        </w:rPr>
        <w:t>for the 2031 0% Notes</w:t>
      </w:r>
      <w:r>
        <w:rPr>
          <w:rFonts w:ascii="Times New Roman;serif" w:hAnsi="Times New Roman;serif"/>
          <w:b w:val="false"/>
          <w:color w:val="000000"/>
          <w:sz w:val="20"/>
          <w:shd w:fill="FFFFFF" w:val="clear"/>
        </w:rPr>
        <w:t>, $2.8 million and $4.5 million for the 0% Notes and $0.7 million and $0.9 million for the 3.875% Notes, in each case as of July 3,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maturities of gross long-term debt (including current portion - see section below on 0% Notes due 2027) as of July 3, 2026 were as follows (in millions):</w:t>
      </w:r>
    </w:p>
    <w:tbl>
      <w:tblPr>
        <w:tblW w:w="3701"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316"/>
        <w:gridCol w:w="1148"/>
        <w:gridCol w:w="230"/>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Expected Maturities</w:t>
            </w:r>
          </w:p>
        </w:tc>
      </w:tr>
      <w:tr>
        <w:trPr/>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4,504.9 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was in compliance with its covenants under all debt agreements as of July 3, 2026, </w:t>
      </w:r>
      <w:r>
        <w:rPr>
          <w:rFonts w:ascii="Times New Roman;serif" w:hAnsi="Times New Roman;serif"/>
          <w:b w:val="false"/>
          <w:color w:val="000000"/>
          <w:sz w:val="20"/>
          <w:shd w:fill="FFFFFF" w:val="clear"/>
        </w:rPr>
        <w:t>and expects to remain in compliance with all covenants over at least the next 12 months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0% Convertible Senior Notes due 2027</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July 3, 2026, based on the maturity date of the 0% Notes, the </w:t>
      </w:r>
      <w:r>
        <w:rPr>
          <w:rFonts w:ascii="Times New Roman;serif" w:hAnsi="Times New Roman;serif"/>
          <w:b w:val="false"/>
          <w:color w:val="000000"/>
          <w:sz w:val="20"/>
          <w:shd w:fill="FFFFFF" w:val="clear"/>
        </w:rPr>
        <w:t>$804.9 million</w:t>
      </w:r>
      <w:r>
        <w:rPr>
          <w:color w:val="000000"/>
        </w:rPr>
        <w:t xml:space="preserve"> </w:t>
      </w:r>
      <w:r>
        <w:rPr>
          <w:rFonts w:ascii="Times New Roman;serif" w:hAnsi="Times New Roman;serif"/>
          <w:b w:val="false"/>
          <w:color w:val="000000"/>
          <w:sz w:val="20"/>
        </w:rPr>
        <w:t>remaining outstanding principal amount of the 0% Notes, net of unamortized issuance costs, was classified as a current portion of long-term debt. Additionally, pursuant to the indenture governing the 0% Notes, since the last reported sale price of the Company’s common stock for at least 20 trading days during the period of 30 consecutive trading days ending on July 3, 2026 was greater than or equal to $68.86 (130% of the conversion price) on each applicable trading day, the holders have the right to surrender any portion of their 0% Notes (in minimum denominations of $1,000 in principal amount or an integral multiple thereof) for conversion during the calendar quarter ending September 30, 2026, and only during such calendar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0% Convertible Senior Notes due 2031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the Company issued $1.5 billion aggregate principal amount of 0% Convertible Senior Notes due May 1, 2031 (the "2031 0% Notes") in a private offering. The Company received net proceeds of $1,472.9 million after deducting purchaser discounts and debt issuance and other financing costs. Concurrently with the issuance, the Company paid $351.6 million to enter into convertible note hedge transactions and received $281.0 million in proceeds from the sale of warrants. The Company also used $331.9 million of the net proceeds to repurchase 3.1 million shares of the Company’s common stock. The remaining proceeds are intended for general corporate purposes, including the repayment of outstanding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2031 0% Notes were accounted for as a single liability instrument. The embedded conversion feature qualified for the scope exception applicable to contracts indexed to, and settled in, the Company's own stock and, therefore, was not accounted for separately as a derivative. Debt issuance costs of $26.9 million were recorded as a direct deduction from the carrying amount of the 2031 0% Notes and are amortized to interest expense over the contractual term of the notes using the effective interest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2031 0% Notes are senior unsecured obligations of the Company and are fully and unconditionally guaranteed by certain subsidiaries. The 2031 0% Notes will not bear regular interest, and the principal amount of the Notes will not accrete. The 2031 0% Notes were issued under an indenture dated May 11, 2026, by and among the Company, the guarantors and Computershare Trust Company, National Association, as trustee (the "Indenture"), and will mature on May 1, 2031, unless earlier converted, redeemed, or repurchased in accordance with their terms.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Holders may convert their 2031 0% Notes at any time beginning on February 1, 2031, until the close of business on the second scheduled trading day immediately preceding the maturity date. Before that date, conversion is permitted only if certain conditions are met, including specified stock price thresholds, trading price conditions, redemption events, or certain corporate transactions. The initial conversion rate is 6.1997 shares of common stock per $1,000 principal amount, equivalent to an initial conversion price of approximately $161.30 per share. Upon conversion, the Company may settle the principal amount in cash and may settle any excess value in cash, shares of common stock, or a combination of both, at its election. The conversion rate may be adjusted for certain events as specified in the Indenture. As of July 3, 2026, there have been no changes to the initial conversion price of the 2031 0% Notes since the issuance date. The maximum number of shares that could be issued upon conversion i</w:t>
      </w:r>
      <w:r>
        <w:rPr>
          <w:rFonts w:ascii="Times New Roman;serif" w:hAnsi="Times New Roman;serif"/>
          <w:b w:val="false"/>
          <w:color w:val="000000"/>
          <w:sz w:val="20"/>
          <w:shd w:fill="FFFFFF" w:val="clear"/>
        </w:rPr>
        <w:t>s approximately 14.2 million shares, which is subject to customary anti-dilution adjustment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May 7, 2029, the Company may redeem the 2031 0% Notes, in whole or in part, for cash if the Company's stock price exceeds 130% of the conversion price for at least 20 trading days (whether or not consecutive) during any 30 consecutive trading-day period ending on, and including, the last trading day of the immediately preceding calendar quarter. The redemption price will be equal to 100% of the principal amount.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2031 0% Notes, the Company recorded $26.3 million of initial purchaser discounts and incurred $0.6 million of additional issuance costs, both of which were capitalized as debt issuance costs. The effective interest rate, including the impact of debt issuance costs is 0.4% over the contractual term of the 2031 0% Notes.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convertible note hedge transactions with certain financial institutions to reduce potential dilution and/or offset potential cash payments in excess of the principal amount upon conversion of the 2031 0% Notes. These hedge transactions cover the number of shares underlying the 2031 0% Notes, subject to customary adjustments, and are expected to settle at the same time as any conversions. The Company paid $351.6 million for these hedge transactions, which was recorded in stockholders’ equity.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At the same time, the Company sold warrants to certain financial institutions covering </w:t>
      </w:r>
      <w:r>
        <w:rPr>
          <w:rFonts w:ascii="Times New Roman;serif" w:hAnsi="Times New Roman;serif"/>
          <w:b w:val="false"/>
          <w:color w:val="000000"/>
          <w:sz w:val="20"/>
        </w:rPr>
        <w:t>9.3 million</w:t>
      </w:r>
      <w:r>
        <w:rPr>
          <w:color w:val="000000"/>
          <w:shd w:fill="FFFFFF" w:val="clear"/>
        </w:rPr>
        <w:t xml:space="preserve"> </w:t>
      </w:r>
      <w:r>
        <w:rPr>
          <w:rFonts w:ascii="Times New Roman;serif" w:hAnsi="Times New Roman;serif"/>
          <w:b w:val="false"/>
          <w:color w:val="000000"/>
          <w:sz w:val="20"/>
          <w:shd w:fill="FFFFFF" w:val="clear"/>
        </w:rPr>
        <w:t xml:space="preserve">shares of its common stock at an initial strike price of $211.54 per share, which represents a 100.0% premium to the Company's stock price on May 6, 2026, subject to adjustment. The warrants expire </w:t>
      </w:r>
      <w:r>
        <w:rPr>
          <w:rFonts w:ascii="Times New Roman;serif" w:hAnsi="Times New Roman;serif"/>
          <w:b w:val="false"/>
          <w:color w:val="000000"/>
          <w:sz w:val="20"/>
        </w:rPr>
        <w:t>on August 1, 2031, and t</w:t>
      </w:r>
      <w:r>
        <w:rPr>
          <w:rFonts w:ascii="Times New Roman;serif" w:hAnsi="Times New Roman;serif"/>
          <w:b w:val="false"/>
          <w:color w:val="000000"/>
          <w:sz w:val="20"/>
          <w:shd w:fill="FFFFFF" w:val="clear"/>
        </w:rPr>
        <w:t>he maximum number of shares that may be issued under the warrants is approximately 18.6 million shares</w:t>
      </w:r>
      <w:r>
        <w:rPr>
          <w:rFonts w:ascii="Times New Roman;serif" w:hAnsi="Times New Roman;serif"/>
          <w:b w:val="false"/>
          <w:color w:val="000000"/>
          <w:sz w:val="20"/>
        </w:rPr>
        <w:t>. The Company received $281.0 million in proceeds from the sale of the warrants, which was recorded in stockholders’ equity. The proceeds from the warrants partially offset the cost of the hedge transactions.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recorded a deferred tax asset of $78.4 million related to the tax effects of the hedge and warrant transactions, including the deductibility of the net cost. The Company recorded a deferred tax asset associated with the tax basis created by the note hedge and warrant transactions. The deferred tax effects were recorded within additional paid-in capital.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Earnings Per Share and Equity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per share of common stock for calculating basic and diluted earnings per share was calculated as follows (in millions, except per share data):</w:t>
      </w:r>
    </w:p>
    <w:tbl>
      <w:tblPr>
        <w:tblW w:w="10205" w:type="dxa"/>
        <w:jc w:val="left"/>
        <w:tblInd w:w="0" w:type="dxa"/>
        <w:tblLayout w:type="fixed"/>
        <w:tblCellMar>
          <w:top w:w="28" w:type="dxa"/>
          <w:left w:w="28" w:type="dxa"/>
          <w:bottom w:w="28" w:type="dxa"/>
          <w:right w:w="28" w:type="dxa"/>
        </w:tblCellMar>
      </w:tblPr>
      <w:tblGrid>
        <w:gridCol w:w="2077"/>
        <w:gridCol w:w="1572"/>
        <w:gridCol w:w="1578"/>
        <w:gridCol w:w="222"/>
        <w:gridCol w:w="649"/>
        <w:gridCol w:w="114"/>
        <w:gridCol w:w="109"/>
        <w:gridCol w:w="109"/>
        <w:gridCol w:w="109"/>
        <w:gridCol w:w="222"/>
        <w:gridCol w:w="649"/>
        <w:gridCol w:w="114"/>
        <w:gridCol w:w="109"/>
        <w:gridCol w:w="109"/>
        <w:gridCol w:w="109"/>
        <w:gridCol w:w="222"/>
        <w:gridCol w:w="649"/>
        <w:gridCol w:w="114"/>
        <w:gridCol w:w="109"/>
        <w:gridCol w:w="109"/>
        <w:gridCol w:w="109"/>
        <w:gridCol w:w="211"/>
        <w:gridCol w:w="670"/>
        <w:gridCol w:w="161"/>
      </w:tblGrid>
      <w:tr>
        <w:trPr/>
        <w:tc>
          <w:tcPr>
            <w:tcW w:w="207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for diluted earnings per share of common stock</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of common stock outstanding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share-based awards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convertible notes and warrants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of common stock attributable to ON Semiconductor Corporation:</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1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Basic income (loss) per share of common stock is computed by dividing net income (loss) for basic earnings by the weighted-average number of shares of common stock outstanding during the period. To calculate the diluted weighted-average shares of common stock outstanding, the treasury stock method has been applied to calculate the number of incremental shares from the assumed issuance of shares relating to RSUs. The excluded number of anti-dilutive share-based awards was immaterial and 2.4 million for the quarters ended July 3, 2026 and July 4, 2025, respectively, and 0.3 million and 2.3 million for the six months ended July 3, 2026 and July 4, 2025, respectively, as the inclusion would have the effect of increasing the net income per common share attributable to the Company or decreasing the net loss per common share attributable to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dilutive impacts related to the 0.50% Notes, the 0% Notes, and the 2031 0% Notes (collectively, the "Convertible Notes") have been calculated using the if-converted method for the quarters ended July 3, 2026 and July 4, 2025. The Convertible Notes are repayable in cash up to the par value and in cash or shares of common stock for the excess over par value. Prior to conversion, the convertible note hedges are not considered for purposes of the earnings per share calculations as their effect would be anti-dilutive. Upon conversion, the convertible note hedges are expected to offset the dilutive effect of the Convertible Notes when the stock price is above the applicable conversion price, as shown below: </w:t>
      </w:r>
    </w:p>
    <w:p>
      <w:pPr>
        <w:pStyle w:val="TextBody"/>
        <w:bidi w:val="0"/>
        <w:spacing w:before="0" w:after="0"/>
        <w:jc w:val="both"/>
        <w:rPr/>
      </w:pPr>
      <w:r>
        <w:rPr/>
      </w:r>
    </w:p>
    <w:tbl>
      <w:tblPr>
        <w:tblW w:w="2450" w:type="dxa"/>
        <w:jc w:val="left"/>
        <w:tblInd w:w="0" w:type="dxa"/>
        <w:tblLayout w:type="fixed"/>
        <w:tblCellMar>
          <w:top w:w="28" w:type="dxa"/>
          <w:left w:w="28" w:type="dxa"/>
          <w:bottom w:w="28" w:type="dxa"/>
          <w:right w:w="28" w:type="dxa"/>
        </w:tblCellMar>
      </w:tblPr>
      <w:tblGrid>
        <w:gridCol w:w="494"/>
        <w:gridCol w:w="433"/>
        <w:gridCol w:w="437"/>
        <w:gridCol w:w="211"/>
        <w:gridCol w:w="72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0.50%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0%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dilutive impact of the warrants issued concurrently with the issuance of the Convertible Notes has been included in the calculation of diluted weighted-average common shares outstanding, if applicable. The warrants become dilutive when the stock price exceeds the applicable exercise price, as shown below: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2450" w:type="dxa"/>
        <w:jc w:val="left"/>
        <w:tblInd w:w="0" w:type="dxa"/>
        <w:tblLayout w:type="fixed"/>
        <w:tblCellMar>
          <w:top w:w="28" w:type="dxa"/>
          <w:left w:w="28" w:type="dxa"/>
          <w:bottom w:w="28" w:type="dxa"/>
          <w:right w:w="28" w:type="dxa"/>
        </w:tblCellMar>
      </w:tblPr>
      <w:tblGrid>
        <w:gridCol w:w="494"/>
        <w:gridCol w:w="433"/>
        <w:gridCol w:w="437"/>
        <w:gridCol w:w="211"/>
        <w:gridCol w:w="72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0.50%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0%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2023, the Board of Directors approved a share repurchase program (the “Share Repurchase Program”) under which the Company could repurchase up to an aggregate of $3.0 billion (exclusive of fees, commissions and other expenses) of the Company's common stock through December 31, 2025. In November 2025, the Board of Directors approved a new Share Repurchase Program (the "New Share Repurchase Program") under which the Company may repurchase up to an aggregate of $6.0 billion (exclusive of fees, commissions and other expenses) of the Company's common stock through December 31, 2028.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Activity under the New Share Repurchase Program and the Share Repurchase Program during the</w:t>
      </w:r>
      <w:r>
        <w:rPr>
          <w:color w:val="000000"/>
        </w:rPr>
        <w:t xml:space="preserve"> </w:t>
      </w:r>
      <w:r>
        <w:rPr>
          <w:rFonts w:ascii="Times New Roman;serif" w:hAnsi="Times New Roman;serif"/>
          <w:b w:val="false"/>
          <w:color w:val="000000"/>
          <w:sz w:val="20"/>
        </w:rPr>
        <w:t>quarters and six months ended July 3, 2026 and July 4, 2025, respectively,</w:t>
      </w:r>
      <w:r>
        <w:rPr>
          <w:color w:val="000000"/>
          <w:shd w:fill="FFFFFF" w:val="clear"/>
        </w:rPr>
        <w:t xml:space="preserve"> </w:t>
      </w:r>
      <w:r>
        <w:rPr>
          <w:rFonts w:ascii="Times New Roman;serif" w:hAnsi="Times New Roman;serif"/>
          <w:b w:val="false"/>
          <w:color w:val="000000"/>
          <w:sz w:val="20"/>
          <w:shd w:fill="FFFFFF" w:val="clear"/>
        </w:rPr>
        <w:t>was as follows (in millions, except per share</w:t>
      </w:r>
      <w:r>
        <w:rPr>
          <w:color w:val="000000"/>
        </w:rPr>
        <w:t xml:space="preserve"> </w:t>
      </w:r>
      <w:r>
        <w:rPr>
          <w:rFonts w:ascii="Times New Roman;serif" w:hAnsi="Times New Roman;serif"/>
          <w:b w:val="false"/>
          <w:color w:val="000000"/>
          <w:sz w:val="20"/>
        </w:rPr>
        <w:t>data)</w:t>
      </w:r>
      <w:r>
        <w:rPr>
          <w:rFonts w:ascii="Times New Roman;serif" w:hAnsi="Times New Roman;serif"/>
          <w:b w:val="false"/>
          <w:color w:val="000000"/>
          <w:sz w:val="20"/>
          <w:shd w:fill="FFFFFF" w:val="clear"/>
        </w:rPr>
        <w:t>:</w:t>
      </w:r>
    </w:p>
    <w:tbl>
      <w:tblPr>
        <w:tblW w:w="8919" w:type="dxa"/>
        <w:jc w:val="left"/>
        <w:tblInd w:w="0" w:type="dxa"/>
        <w:tblLayout w:type="fixed"/>
        <w:tblCellMar>
          <w:top w:w="28" w:type="dxa"/>
          <w:left w:w="28" w:type="dxa"/>
          <w:bottom w:w="28" w:type="dxa"/>
          <w:right w:w="28" w:type="dxa"/>
        </w:tblCellMar>
      </w:tblPr>
      <w:tblGrid>
        <w:gridCol w:w="1374"/>
        <w:gridCol w:w="1209"/>
        <w:gridCol w:w="1211"/>
        <w:gridCol w:w="211"/>
        <w:gridCol w:w="721"/>
        <w:gridCol w:w="109"/>
        <w:gridCol w:w="109"/>
        <w:gridCol w:w="109"/>
        <w:gridCol w:w="109"/>
        <w:gridCol w:w="230"/>
        <w:gridCol w:w="671"/>
        <w:gridCol w:w="118"/>
        <w:gridCol w:w="109"/>
        <w:gridCol w:w="109"/>
        <w:gridCol w:w="109"/>
        <w:gridCol w:w="230"/>
        <w:gridCol w:w="671"/>
        <w:gridCol w:w="118"/>
        <w:gridCol w:w="109"/>
        <w:gridCol w:w="109"/>
        <w:gridCol w:w="109"/>
        <w:gridCol w:w="229"/>
        <w:gridCol w:w="669"/>
        <w:gridCol w:w="167"/>
      </w:tblGrid>
      <w:tr>
        <w:trPr/>
        <w:tc>
          <w:tcPr>
            <w:tcW w:w="13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Number of repurchased shares </w:t>
            </w:r>
            <w:r>
              <w:rPr>
                <w:rFonts w:ascii="Times New Roman;serif" w:hAnsi="Times New Roman;serif"/>
                <w:b w:val="false"/>
                <w:color w:val="000000"/>
                <w:sz w:val="13"/>
              </w:rPr>
              <w:t>(1)</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purchase price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6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commissions and excise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purchase price per share </w:t>
            </w:r>
            <w:r>
              <w:rPr>
                <w:rFonts w:ascii="Times New Roman;serif" w:hAnsi="Times New Roman;serif"/>
                <w:b w:val="false"/>
                <w:color w:val="000000"/>
                <w:sz w:val="13"/>
              </w:rPr>
              <w:t>(2)</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46.11 </w:t>
            </w:r>
          </w:p>
        </w:tc>
        <w:tc>
          <w:tcPr>
            <w:tcW w:w="16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None of these shares had been reissued or retired as of July 3, 2026, but may be reissued later.</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Exclusive of fees, commissions or other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As of July 3, 2026</w:t>
      </w:r>
      <w:r>
        <w:rPr>
          <w:rFonts w:ascii="Times New Roman;serif" w:hAnsi="Times New Roman;serif"/>
          <w:b w:val="false"/>
          <w:color w:val="000000"/>
          <w:sz w:val="20"/>
        </w:rPr>
        <w:t xml:space="preserve">, the authorized amount remaining under the New Share Repurchase Program was approximately $5.3 billion.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Shares for Restricted Stock Units Tax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remitted for employee withholding taxes during the quarters ended July 3, 2026 and July 4, 2025 were $20.0 million and $2.2 million, respectively, for which the Company withheld 0.2 million and an immaterial number of shares of common stock, respectively, that were underlying the RSUs that vested. The amounts remitted for employee withholding taxes during the six months ended July 3, 2026 and July 4, 2025 were $47.4 million and $25.1 million, respectively, for which the Company withheld 0.6 million and 0.5 million shares of common stock, respectively, that were underlying the RSUs that vested. This tax withholding activity is separate from the Share Repurchase Program or the New Share Repurchase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 in Leshan-Phoenix Semiconductor Company Limited ("Leshan")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Leshan have been consolidated in the Company's financial statements. The Leshan non-controlling interest balance was $19.8 million as of July 3, 2026 after including its $1.2 million share of earnings for the six months ended July 3, 2026. As of December 31, 2025, the Leshan non-controlling interest balance was $18.6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9: Share-Based Compensation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share-based compensation expense related to RSUs, stock grant awards and the ESPP was recorded within the Consolidated Statements of Operations and Comprehensive Income as follows (in millions):</w:t>
      </w:r>
    </w:p>
    <w:tbl>
      <w:tblPr>
        <w:tblW w:w="8941" w:type="dxa"/>
        <w:jc w:val="left"/>
        <w:tblInd w:w="0" w:type="dxa"/>
        <w:tblLayout w:type="fixed"/>
        <w:tblCellMar>
          <w:top w:w="28" w:type="dxa"/>
          <w:left w:w="28" w:type="dxa"/>
          <w:bottom w:w="28" w:type="dxa"/>
          <w:right w:w="28" w:type="dxa"/>
        </w:tblCellMar>
      </w:tblPr>
      <w:tblGrid>
        <w:gridCol w:w="1388"/>
        <w:gridCol w:w="1223"/>
        <w:gridCol w:w="1228"/>
        <w:gridCol w:w="259"/>
        <w:gridCol w:w="627"/>
        <w:gridCol w:w="133"/>
        <w:gridCol w:w="109"/>
        <w:gridCol w:w="109"/>
        <w:gridCol w:w="109"/>
        <w:gridCol w:w="259"/>
        <w:gridCol w:w="627"/>
        <w:gridCol w:w="133"/>
        <w:gridCol w:w="109"/>
        <w:gridCol w:w="109"/>
        <w:gridCol w:w="109"/>
        <w:gridCol w:w="259"/>
        <w:gridCol w:w="627"/>
        <w:gridCol w:w="133"/>
        <w:gridCol w:w="109"/>
        <w:gridCol w:w="109"/>
        <w:gridCol w:w="109"/>
        <w:gridCol w:w="256"/>
        <w:gridCol w:w="621"/>
        <w:gridCol w:w="187"/>
      </w:tblGrid>
      <w:tr>
        <w:trPr/>
        <w:tc>
          <w:tcPr>
            <w:tcW w:w="138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benefit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net of tax</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July 3, 2026, the total unrecognized expected share-based compensation expense, net of estimated forfeitures, related to non-vested RSUs with service, performance and market conditions was </w:t>
      </w:r>
      <w:r>
        <w:rPr>
          <w:rFonts w:ascii="Times New Roman;serif" w:hAnsi="Times New Roman;serif"/>
          <w:b w:val="false"/>
          <w:color w:val="000000"/>
          <w:sz w:val="20"/>
          <w:shd w:fill="FFFFFF" w:val="clear"/>
        </w:rPr>
        <w:t>$218.3 million</w:t>
      </w:r>
      <w:r>
        <w:rPr>
          <w:rFonts w:ascii="Times New Roman;serif" w:hAnsi="Times New Roman;serif"/>
          <w:b w:val="false"/>
          <w:color w:val="000000"/>
          <w:sz w:val="20"/>
        </w:rPr>
        <w:t xml:space="preserve">, which is expected to be recognized over a weighted-average period of </w:t>
      </w:r>
      <w:r>
        <w:rPr>
          <w:rFonts w:ascii="Times New Roman;serif" w:hAnsi="Times New Roman;serif"/>
          <w:b w:val="false"/>
          <w:color w:val="000000"/>
          <w:sz w:val="20"/>
          <w:shd w:fill="FFFFFF" w:val="clear"/>
        </w:rPr>
        <w:t>1.8 years</w:t>
      </w:r>
      <w:r>
        <w:rPr>
          <w:rFonts w:ascii="Times New Roman;serif" w:hAnsi="Times New Roman;serif"/>
          <w:b w:val="false"/>
          <w:color w:val="000000"/>
          <w:sz w:val="20"/>
        </w:rPr>
        <w:t>. Upon vesting of RSUs or stock grant awards or completion of a purchase under the ESPP, new shares of common stock are issued. The annualized pre-vesting forfeiture rate for RSUs was estimated to be 8% for each of the quarters ended July 3, 2026 and July 4,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Shares Available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July 3, 2026 and December 31, 2025, there was an aggregate o</w:t>
      </w:r>
      <w:r>
        <w:rPr>
          <w:rFonts w:ascii="Times New Roman;serif" w:hAnsi="Times New Roman;serif"/>
          <w:b w:val="false"/>
          <w:color w:val="000000"/>
          <w:sz w:val="20"/>
          <w:shd w:fill="FFFFFF" w:val="clear"/>
        </w:rPr>
        <w:t>f 26.4 million and 28.5 million s</w:t>
      </w:r>
      <w:r>
        <w:rPr>
          <w:rFonts w:ascii="Times New Roman;serif" w:hAnsi="Times New Roman;serif"/>
          <w:b w:val="false"/>
          <w:color w:val="000000"/>
          <w:sz w:val="20"/>
        </w:rPr>
        <w:t xml:space="preserve">hares of common stock, respectively, available for grant under the Amended and Restated SIP.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RSUs generally vest ratably over three years for awards with service conditions and over three or five years for awards with performance, service and market conditions, or a combination thereof, and are settled in shares of common stock upon vesting. A summary of the RSU transactions for the six months ended July 3, 2026 was as follows (in millions, except per share data):</w:t>
      </w:r>
    </w:p>
    <w:tbl>
      <w:tblPr>
        <w:tblW w:w="9341" w:type="dxa"/>
        <w:jc w:val="left"/>
        <w:tblInd w:w="0" w:type="dxa"/>
        <w:tblLayout w:type="fixed"/>
        <w:tblCellMar>
          <w:top w:w="28" w:type="dxa"/>
          <w:left w:w="28" w:type="dxa"/>
          <w:bottom w:w="28" w:type="dxa"/>
          <w:right w:w="28" w:type="dxa"/>
        </w:tblCellMar>
      </w:tblPr>
      <w:tblGrid>
        <w:gridCol w:w="1217"/>
        <w:gridCol w:w="1070"/>
        <w:gridCol w:w="1073"/>
        <w:gridCol w:w="504"/>
        <w:gridCol w:w="504"/>
        <w:gridCol w:w="506"/>
        <w:gridCol w:w="109"/>
        <w:gridCol w:w="109"/>
        <w:gridCol w:w="109"/>
        <w:gridCol w:w="888"/>
        <w:gridCol w:w="2598"/>
        <w:gridCol w:w="654"/>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RSUs at December 31, 2025</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Achieved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RSUs at July 3, 2026</w:t>
            </w:r>
          </w:p>
        </w:tc>
        <w:tc>
          <w:tcPr>
            <w:tcW w:w="10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10: Commitments and Contingencies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Environmental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encountered and dealt with a number of environmental issues over time relating to the various locations where it conducts its operations and has incurred certain costs related to clean-up activities and environmental remediation efforts. In certain instances, the Company has been indemnified for such costs, often from third parties who were the prior owners of such facilities. Any costs to the Company in connection with such environmental matters have generally not been, and based on the information available, are not expected to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Contingencies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provides standby letters of credit or other guarantee instruments to certain parties initiated by either the Company or its subsidiaries, as required for transactions, including, but not limited to, material purchase commitments, agreements to mitigate collection risk, leases, utilities arrangements and/or customs guarantees. The Revolving Credit Facility includes $25.0 million available for the issuance of letters of credit, of which $1.6 million was outstanding as of July 3, 2026, which reduced the borrowing capacity under such facility. As of July 3, 2026, the Company also had outstanding guarantees and letters of credit outside of its Revolving Credit Facility totaling $6.9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obtaining financing in the ordinary course of business, the Company issued guarantees related to certain of its subsidiaries, which totaled $1.6 million as of July 3, 2026. Based on historical experience and information currently available, the Company believes that it will not be required to make payments under the standby letters of credit or guarantee arrangements for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Indemnification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party to a variety of agreements entered into in the ordinary course of business, including acquisition agreements, pursuant to which it may be obligated to indemnify the other parties for certain liabilities that arise out of or relate to the subject matter of the agreements. Some of the agreements entered into by the Company require it to indemnify the other party against losses due to IP infringement, property damage (including environmental contamination), personal injury, failure to comply with applicable laws, the Company’s negligence or willful misconduct or breach of representations and warranties and covenants related to such matters as title to sold assets. In the case of certain acquisition agreements, these agreements may require us to maintain such indemnification provisions for the acquiree’s directors, officers and other employees and agents, in certain cases for a number of years following the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the Company’s future obligations under certain agreements may contain limitations on liability for indemnification, other agreements do not contain such limitations and under such agreements it is not possible to predict the maximum potential amount of future payments due to the conditional nature of the Company’s obligations and the unique facts and circumstances involved in each particular agreement. Historically, payments made by the Company under any of these indemnities have not had a material effect on the Company’s business, financial condition, results of operations or cash flows. Additionally, the Company does not believe that any amounts that it may be required to pay under these indemnities in the future will be material to the Company’s business, financial position,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currently involved in a variety of legal matters that arise in the ordinary course of business. Based on information currently available, the Company is not involved in any pending or threatened legal proceedings that it believes could reasonably be expected to have a material adverse effect on its financial condition, results of operations or liquidity. However, the litigation process is inherently uncertain, and the Company cannot guarantee that the outcome of any litigation matter will be favorable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Securities Class Action and Derivative Litigation Concerning the Company's SiC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13, 2023, a putative class action captioned Hubacek v. On Semiconductor Corp., et al., Case No. 1:23-cv-01429 (D. Del.), was filed by an alleged stockholder of the Company in the U.S. District Court for the District of Delaware against the Company and certain of its officers. This action was transferred to the U.S. District Court for the District of Arizona in March of 2024. The initial complaint asserted claims for alleged violation of Sections 10(b) and 20(a) of the Securities Exchange Act of 1934. The initial complaint alleged that the defendants made misleading statements regarding the Company's SiC business. An amended complaint was filed on May 31, 2024. The amended complaint again asserts claims for alleged violations of Sections 10(b) and 20(a) of the Securities Exchange Act of 1934. The plaintiff seeks a ruling that this case may proceed as a class action, and seeks damages, attorneys’ fees and costs. The Company filed a motion to dismiss the amended complaint on July 30, 2024. Upon reviewing the Company’s motion to dismiss the amended complaint, plaintiff deemed it necessary to further amend their complaint. On September 6, 2024, the plaintiff filed their second amended complaint. The Company filed a motion to dismiss this second amended complaint on October 10, 2024. Full briefing for this motion to dismiss the second amended complaint was completed on December 20, 2024. Oral arguments for this motion to dismiss were heard by the court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27, 2025. On July 11, 2025, the court granted the Company's motion to dismiss the plaintiff's second amended complaint without prejudice. On August 11, 2025, the plaintiff filed their third amended complaint. The Company filed a motion to dismiss this third amended complaint on September 25, 2025. Full briefing on this motion to dismiss the third amended complaint was completed on December 10, 2025. On July 23, 2026, the court granted the Company’s motion to dismiss the plaintiff’s third amended complaint with prejudice.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3, 2024, a purported stockholder derivative action captioned Silva v. El-Khoury, et al., Case No. 1:24-cv-00007 (D. Del.), was filed by a purported stockholder of the Company in the U.S. District Court for the District of Delaware. On February 12, 2024, a purported stockholder derivative action captioned Smalley et al. v. El-Khoury et al. Case No. 1:24-cv-00183 (D. Del.), was filed by a purported stockholder of the Company in the U.S. District Court for the District of Delaware. Both aforementioned derivative actions, Silva and Smalley, were voluntarily dismissed without prejudice on April 15, 2024. On February 28, 2024, a purported stockholder derivative action captioned Mumme et al. v. El-Khoury et al. Case No. CV2024-003974 (D. AZ.), was filed by a purported stockholder of the Company in the Superior Court of the State of Arizona in and for the County of Maricopa. On March 15, 2024, a purported stockholder derivative action captioned Chan et al. v. Abe et al. Case No. 2:24-cv-00552 (D. AZ.), was filed by a purported stockholder of the Company in the U.S. District Court for the District of Arizona. On June 16, 2025, a purported stockholder derivative action captioned Balsam-Respler et al. v. El-Khoury et al. Case No. 2:25-cv-001672 (D. AZ.), was filed by a purported stockholder of the Company in the U.S. District Court for the District of Arizona. On September 23, 2025, the U.S. District Court for the District of Arizona consolidated the Balsam-Respler and Chan derivative complaints into a consolidated action entitled In re ON Semiconductor Corporation Stockholder Derivative Litigation, Case No. CV-24-00552 (D.AZ.). The allegations in these derivative complaints are substantially similar to the allegations in the securities class action complaint discussed above. The derivative suits purport to assert claims (1) on behalf of the Company against certain of its officers for contribution under the federal securities laws and (2) against all of the defendants for breach of fiduciary duty, aiding and abetting, unjust enrichment, abuse of control, gross mismanagement, and waste. The plaintiffs seek an award of damages, pre-judgment interest, punitive damages, attorneys’ fees, and other costs and expenses related to the litigation. The Company believes that the plaintiffs lack standing to assert claims on the Company’s behalf. These pending derivative actions were stayed by agreement, pending the resolution of Hubacek v. On Semiconductor Corp.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Intellectual Property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faces risk of exposure from claims of infringement of the IP rights of others. In the ordinary course of business, the Company receives letters asserting that the Company’s products or components breach another party’s rights. Such letters may request royalty payments from the Company, that the Company cease and desist using certain IP, and/or request other remedies.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11: Fair Value Measurements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tier level hierarchy is used to determine fair values of the financial instruments: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1: based on observable inputs that reflect quoted prices for identical assets or liabilities in active markets.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2: based on inputs other than quoted prices included in Level 1 that are observable for the asset or liability either directly or indirectly.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based on the use of unobservable inputs for the assets and liabilities and other types of analyses.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which include money market funds and demand and time deposits, approximate fair value because of the short-term maturity of these instruments. Money market funds and demand deposits are classified as Level 1 while time deposits are classified as Level 2 within the fair value hierarchy. The carrying amounts of other current assets, excluding assets held-for-sale, and liabilities, such as accounts receivable and accounts payable, approximate fair value due to the short-term maturity of the amounts, and such amounts are considered Level 2 in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held $350.0 million and $400.0 million of short-term investments in time deposits as of July 3, 2026 and December 31,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Vcore acquisition in 2025, the Company is required to pay additional cash consideration upon the receipt and acceptance of specified products and the achievement of certain revenue milestones. The maximum contingent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consideration to be distributed is $144.0 million. Contingent consideration is classified as Level 3 within the fair value hierarchy. Key unobservable inputs included the probability of completing future product milestones, the probability of achieving revenue targets, the expected timing of payments, volatility and risk</w:t>
        <w:noBreakHyphen/>
        <w:t>adjusted discount rates. The contingent liability for revenue milestones was valued using Monte Carlo simulations.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which will be settled in cash, has been allocated between accrued expenses and other long-term liabilities based on the expected timing of payments. Accordingly, it will be remeasured at fair value each reporting period, with changes recognized in the Consolidated Statements of Operations. The fair value of the contingent consideration was as follows (in millions): </w:t>
      </w:r>
    </w:p>
    <w:tbl>
      <w:tblPr>
        <w:tblW w:w="6761" w:type="dxa"/>
        <w:jc w:val="left"/>
        <w:tblInd w:w="0" w:type="dxa"/>
        <w:tblLayout w:type="fixed"/>
        <w:tblCellMar>
          <w:top w:w="28" w:type="dxa"/>
          <w:left w:w="28" w:type="dxa"/>
          <w:bottom w:w="28" w:type="dxa"/>
          <w:right w:w="28" w:type="dxa"/>
        </w:tblCellMar>
      </w:tblPr>
      <w:tblGrid>
        <w:gridCol w:w="1386"/>
        <w:gridCol w:w="1218"/>
        <w:gridCol w:w="1221"/>
        <w:gridCol w:w="230"/>
        <w:gridCol w:w="671"/>
        <w:gridCol w:w="118"/>
        <w:gridCol w:w="109"/>
        <w:gridCol w:w="109"/>
        <w:gridCol w:w="109"/>
        <w:gridCol w:w="342"/>
        <w:gridCol w:w="999"/>
        <w:gridCol w:w="249"/>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included in:</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of Long-Term Debt, including Current Portion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amounts and fair values of the Company's long-term borrowings were as follows (in millions):</w:t>
      </w:r>
    </w:p>
    <w:tbl>
      <w:tblPr>
        <w:tblW w:w="9105" w:type="dxa"/>
        <w:jc w:val="left"/>
        <w:tblInd w:w="0" w:type="dxa"/>
        <w:tblLayout w:type="fixed"/>
        <w:tblCellMar>
          <w:top w:w="28" w:type="dxa"/>
          <w:left w:w="28" w:type="dxa"/>
          <w:bottom w:w="28" w:type="dxa"/>
          <w:right w:w="28" w:type="dxa"/>
        </w:tblCellMar>
      </w:tblPr>
      <w:tblGrid>
        <w:gridCol w:w="1351"/>
        <w:gridCol w:w="1190"/>
        <w:gridCol w:w="1194"/>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including current portion </w:t>
            </w:r>
            <w:r>
              <w:rPr>
                <w:rFonts w:ascii="Times New Roman;serif" w:hAnsi="Times New Roman;serif"/>
                <w:b w:val="false"/>
                <w:color w:val="000000"/>
                <w:sz w:val="13"/>
              </w:rPr>
              <w:t>(1)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0.50%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2031 0% Notes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0%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3.875% Notes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Carrying amounts shown are net of unamortized debt discount, if applicable, and unamortized debt issuance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values of the 0.50% Notes, 2031 0% Notes, 0% Notes and 3.875% Notes were estimated based on market prices in active markets (Level 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12: Financial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Currencies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notional amounts and related fair values of the Company’s foreign currency derivative instruments in U.S. Dollars (in millions): </w:t>
      </w:r>
    </w:p>
    <w:tbl>
      <w:tblPr>
        <w:tblW w:w="10205" w:type="dxa"/>
        <w:jc w:val="left"/>
        <w:tblInd w:w="0" w:type="dxa"/>
        <w:tblLayout w:type="fixed"/>
        <w:tblCellMar>
          <w:top w:w="28" w:type="dxa"/>
          <w:left w:w="28" w:type="dxa"/>
          <w:bottom w:w="28" w:type="dxa"/>
          <w:right w:w="28" w:type="dxa"/>
        </w:tblCellMar>
      </w:tblPr>
      <w:tblGrid>
        <w:gridCol w:w="1787"/>
        <w:gridCol w:w="1564"/>
        <w:gridCol w:w="1572"/>
        <w:gridCol w:w="109"/>
        <w:gridCol w:w="109"/>
        <w:gridCol w:w="109"/>
        <w:gridCol w:w="547"/>
        <w:gridCol w:w="1598"/>
        <w:gridCol w:w="283"/>
        <w:gridCol w:w="109"/>
        <w:gridCol w:w="109"/>
        <w:gridCol w:w="109"/>
        <w:gridCol w:w="229"/>
        <w:gridCol w:w="442"/>
        <w:gridCol w:w="118"/>
        <w:gridCol w:w="109"/>
        <w:gridCol w:w="109"/>
        <w:gridCol w:w="109"/>
        <w:gridCol w:w="259"/>
        <w:gridCol w:w="630"/>
        <w:gridCol w:w="195"/>
      </w:tblGrid>
      <w:tr>
        <w:trPr/>
        <w:tc>
          <w:tcPr>
            <w:tcW w:w="178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or contractual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Assets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Liabilities </w:t>
            </w:r>
            <w:r>
              <w:rPr>
                <w:rFonts w:ascii="Times New Roman;serif" w:hAnsi="Times New Roman;serif"/>
                <w:b/>
                <w:color w:val="000000"/>
                <w:sz w:val="12"/>
              </w:rPr>
              <w:t>(2)</w:t>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July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with hedge accounting designation: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without hedge accounting designation: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Currency 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with hedge accounting designation: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without hedge accounting designation: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Other current assets.</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Accrued expenses and other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 hedges and currency derivatives are measured at fair value using a discounted cash flow model based on observable forward exchange rates and credit</w:t>
        <w:noBreakHyphen/>
        <w:t>adjusted discount rates, and are classified as Level 2 fair value measurements. Gains and losses on cash flow hedges and currency derivatives were immaterial for the quarters and six months ended July 3, 2026 and July 4,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Instruments with Hedge Accounting Designation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foreign currency cash flow hedging program to reduce the risk that its U.S. dollar net cash outflows from procurement activities will be adversely affected by fluctuations in foreign currency exchange rates. The Company enters into forward contracts (principally Philippine peso, Korean won and Czech koruna) to hedge certain portions of forecasted cash flows denominated in foreign currencies. These contracts generally mature within 18 months and are designated as cash flow hedges for accounting purposes. The Company did not identify any ineffectiveness with respect to the notional amounts of the foreign currency forward contracts effective as of July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Instruments without Hedge Accounting Designation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Currency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3, 2026 and December 31, 2025, the Company had net outstanding foreign exchange contracts that hedged existing assets and liabilities associated with transactions on its balance sheet, which were undesignated hedges for accounting purposes. Such contracts were obtained through financial institutions and were scheduled to mature within two months from the time of purchase. Management believes that these financial instruments should not subject the Company to increased risks from foreign exchange movements because gains and losses on these contracts should offset losses and gains on the underlying assets, liabilities and transactions to which they relate.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d3130c5dba44501a5a60be02340cca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SEMICONDUCTOR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Convertible Note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entered into convertible note hedges in connection with the issuance of the 0% Notes, the 2031 0% Notes, and 0.50% Notes. See Note 7: ''Long-Term Debt''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 2026, the Company had no outstanding commodity derivatives, currency swaps, options or equity contracts held at subsidiaries or affiliated companies. The Company does not hedge the value of its equity investments in its subsidiaries or affiliated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credit-related losses if its hedge counterparties fail to perform their obligations. As of July 3, 2026, the counterparties to the Company's hedge contracts were held at financial institutions which the Company believes to be highly rated, and no credit-related losses are anticipated.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13: 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accrued related to uncertain tax positions in tax expense in the Consolidated Statements of Operations and Comprehensive Income. The Company maintains a partial valuation allowance on its U.S. state deferred tax assets and on certain foreign net operating losses and tax credits.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currently under IRS examination for the 2022 and 2023 tax years. Tax years prior to 2022 are generally not subject to examination by the IRS. For state tax returns, the Company is generally not subject to income tax examinations for tax years prior to 2020. With respect to jurisdictions outside the United States, the Company is generally not subject to examination for tax years prior to 2017.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Changes in Accumulated Other Comprehensive Loss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Amounts comprising accumulated other comprehensive loss and reclassifications were as follows (in millions):</w:t>
      </w:r>
    </w:p>
    <w:tbl>
      <w:tblPr>
        <w:tblW w:w="10205" w:type="dxa"/>
        <w:jc w:val="left"/>
        <w:tblInd w:w="0" w:type="dxa"/>
        <w:tblLayout w:type="fixed"/>
        <w:tblCellMar>
          <w:top w:w="28" w:type="dxa"/>
          <w:left w:w="28" w:type="dxa"/>
          <w:bottom w:w="28" w:type="dxa"/>
          <w:right w:w="28" w:type="dxa"/>
        </w:tblCellMar>
      </w:tblPr>
      <w:tblGrid>
        <w:gridCol w:w="1588"/>
        <w:gridCol w:w="1251"/>
        <w:gridCol w:w="1259"/>
        <w:gridCol w:w="109"/>
        <w:gridCol w:w="109"/>
        <w:gridCol w:w="109"/>
        <w:gridCol w:w="565"/>
        <w:gridCol w:w="1407"/>
        <w:gridCol w:w="293"/>
        <w:gridCol w:w="109"/>
        <w:gridCol w:w="109"/>
        <w:gridCol w:w="109"/>
        <w:gridCol w:w="427"/>
        <w:gridCol w:w="1168"/>
        <w:gridCol w:w="220"/>
        <w:gridCol w:w="109"/>
        <w:gridCol w:w="109"/>
        <w:gridCol w:w="109"/>
        <w:gridCol w:w="109"/>
        <w:gridCol w:w="211"/>
        <w:gridCol w:w="566"/>
        <w:gridCol w:w="160"/>
      </w:tblGrid>
      <w:tr>
        <w:trPr/>
        <w:tc>
          <w:tcPr>
            <w:tcW w:w="158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Effects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prior to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current period other comprehensive loss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Effects of cash flow hedges were net of tax impact of $2.7 million for the six months ended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in conjunction with our audited historical consolidated financial statements, which are included in the 2025 Form 10-K, and our unaudited consolidated financial statements for the fiscal quarter ended July 3, 2026, which are included elsewhere in this Form 10-Q. This Management's Discussion and Analysis of Financial Condition and Results of Operations contains statements that are forward-looking. These statements are based on expectations and assumptions as of the date of this Form 10-Q and are subject to risks, uncertainties and other factors. Actual results could differ materially because of the factors discussed below or elsewhere in this Form 10-Q. See Part II, Item 1A. "Risk Factors" of this Form 10-Q and Part I, Item 1A. "Risk Factors" of the 2025 Form 10-K.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onsemi Overview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Semiconductor Corporation ("onsemi," "we," "us," "our," or the "Company"), with its wholly and majority-owned subsidiaries, operates under the onsemi</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brand. The Company is organized into three operating and reportable segments: the Power Solutions Group ("PSG"), the Analog and Mixed-Signal Group ("AMG"), and the Intelligent Sensing Group ("ISG").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deliver intelligent power and intelligent sensing technologies that enable electrification, energy efficiency, safety, and automation across automotive, industrial, and AI data center end-markets. Our intelligent power technologies enable electrified drivetrain and power management applications in the automotive industry and support efficient fast</w:t>
        <w:noBreakHyphen/>
        <w:t>charging systems. Our intelligent sensing technologies enable advanced safety applications in automotive through industry</w:t>
        <w:noBreakHyphen/>
        <w:t>leading performance and reliability.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the evolution of the automotive industry, with advancements in autonomous driving, ADAS, vehicle electrification, and increased electronics content across vehicle platforms, is reshaping the boundaries of transportation. Through sensing integration, we believe our intelligent power solutions achieve increased efficiencies compared to our peers. This integration allows lower temperature operation and reduced cooling requirements while saving costs and minimizing weight. In addition, our power solutions deliver power with less die per module, improving performance efficiency for a given battery or power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industrial market, our intelligent power technologies propel sustainable energy for the highest efficiency solar strings and industrial power. In the medical field, our intelligent power technologies extend the life of personal diagnostic devices, such as continuous glucose monitors. Our intelligent sensing technologies support the next generation industry through automation, allowing for smarter factories and buildings. Our intelligent power and sensing technologies are enabling robotics and humanoids.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other end-market, which includes AI data center products, our intelligent power technologies enable energy efficiency in a market in which energy needs are growing at an exponential rate, and AI data center operators are focused on reducing energy consumption. We believe we have one of the most comprehensive portfolios of products and technologies for this market to address the complete power tree, and we are well-positioned to benefit as next-generation AI data center processors and racks enter the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Strategy Developments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focused on increasing profitable revenue through differentiated technologies to address the high-growth megatrends in automotive, industrial and other markets which include AI data centers. We continue to optimize and right-size our manufacturing footprint to align our capacity with our long-term outlook, while focusing on generating efficiencies that result in meaningful gross margin expansion and operating cash flows. We intend to achieve efficiencies in our operating and capital expenditures and invest in research and development initiatives to accelerate growth in high-margin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Definitive Agreement to Acquire Synaptics Incorporated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2026, we entered into an Agreement and Plan of Reorganization (the "Merger Agreement") with Sonic Acquisition Corp. and Synaptics Incorporated ("Synaptics"), pursuant to which Synaptics will become a wholly owned subsidiary of onsemi (the “Merger”). At the effective time of the Merger (the “Closing”), each outstanding share of Synaptics common stock, subject to limited exceptions set forth in the Merger Agreement, will be converted into the right to receive 1.350 shares of the Company's common stock. Based on the exchange ratio, we expect Synaptics stockholders will own approximately 12% of the combined company on a pro forma basis upon closing. The Merger Agreement also provides for our assumption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Synaptics equity awards, subject to certain adjustments thereto in respect of, among other things, performance-based vesting conditions. Our Board of Directors unanimously approved the Merger Agreement and the issuance of our common stock in connection with the Merger.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at the Closing, onsemi will appoint one independent director, designated by onsemi from among those directors serving on the board of directors of Synaptics (“Synaptics Board”) as of immediately prior to the Closing that have been proposed to onsemi by the Synaptics Board for consideration, with such selection to be made after reasonable consultation with, and reasonable consideration of the recommendations of, Synaptics.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which is anticipated to close in mid-2027, is subject to the satisfaction or waiver of customary closing conditions, including, but not limited to, adoption of the Merger Agreement by Synaptics’ stockholders, the expiration or early termination of the waiting period under the HSR Act, and other regulatory approvals under certain antitrust and foreign investment regimes, and the absence of any order, injunction or law of such jurisdictions prohibiting the Merger.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parties’ HSR notifications were filed with the FTC and DOJ on July 17, 2026. The 30-day waiting period following the parties’ filings expires at 11:59 pm, Eastern Time, on August 17, 2026, unless extended by the issuance of a Second Request or earlier terminated by the FTC and DOJ.</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certain termination rights for each of us and Synaptics. In certain circumstances in which the Merger Agreement is terminated, Synaptics may be required to pay us a termination fee of $235.0 million, including if the Merger Agreement is terminated by us due to a change of recommendation by the Synaptics Board, or by Synaptics to enter into a more favorable third-party acquisition proposal, as more fully described in the Merger Agreement. In certain circumstances in which the Merger Agreement is terminated due to the failure to obtain required regulatory approvals, we may be required to pay Synaptics a termination fee of $320.0 million, as more fully described in the Merger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on risks related to the Merger, see Part II, Item 1A. "Risk Factors" of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2026 Manufacturing Realignment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half of 2026, the Company continued to engage in additional restructuring and cost reduction initiatives under its previously disclosed multi</w:t>
        <w:noBreakHyphen/>
        <w:t xml:space="preserve">year manufacturing realignment program to better align manufacturing capacity and capabilities with anticipated long-term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incur total severance costs and related benefit expenses of $25.0 million related to the termination of approximately 650 employees. Of this, approximately $2.5 million and $22.7 million was recognized during the quarter and six months ended July 3, 2026, respectively. We also recorded non-cash impairment charges of $16.3 million and $163.3 million during the quarter and six months ended July 3, 2026, respectively, related to previous investments in manufacturing equipment at certain manufacturing facilities pursuant to held-for-sale accounting guidance. Other charges of $22.4 million and $184.5 million for the quarter and six months ended July 3, 2026, related to contract termination costs and other facility exit activities during the quarter ended July 3, 2026 and accelerated depreciation of leasehold improvements and accelerated amortization of ROU assets that were abandoned in connection with the 2025 and 2026 Manufacturing Realignment Programs during the six months ended July 3, 2026. The total of the aforementioned costs was included within Restructuring, Asset Impairments and Other, Net in the Consolidated Statement of Operations. We also recorded $13.4 million of restructuring-related charges for the quarter ended July 3, 2026 within Cost of revenue in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see Note 5: ''Restructuring, Asset Impairments and Other, Net'' in the notes to our unaudited consolidated financial statements included elsewhere in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July 3, 2026, we repurchased approximately 3.1 million shares of common stock for an aggregate purchase price of $334.7 million. During the six months ended July 3, 2026, we repurchased approximately 8.8 million shares of common stock for an aggregate purchase price of $683.3 million. For additional information, see Note 8: ''Earnings Per Share and Equity'' in the notes to our unaudited consolidated financial statements included elsewhere in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Quarter Ended July 3, 2026 compared to the Quarter Ended July 4,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information relating to our operating results that has been derived from our unaudited consolidated financial statements (in millions):</w:t>
      </w:r>
    </w:p>
    <w:tbl>
      <w:tblPr>
        <w:tblW w:w="8976" w:type="dxa"/>
        <w:jc w:val="left"/>
        <w:tblInd w:w="0" w:type="dxa"/>
        <w:tblLayout w:type="fixed"/>
        <w:tblCellMar>
          <w:top w:w="28" w:type="dxa"/>
          <w:left w:w="28" w:type="dxa"/>
          <w:bottom w:w="28" w:type="dxa"/>
          <w:right w:w="28" w:type="dxa"/>
        </w:tblCellMar>
      </w:tblPr>
      <w:tblGrid>
        <w:gridCol w:w="1763"/>
        <w:gridCol w:w="1554"/>
        <w:gridCol w:w="1558"/>
        <w:gridCol w:w="211"/>
        <w:gridCol w:w="766"/>
        <w:gridCol w:w="109"/>
        <w:gridCol w:w="109"/>
        <w:gridCol w:w="109"/>
        <w:gridCol w:w="109"/>
        <w:gridCol w:w="211"/>
        <w:gridCol w:w="766"/>
        <w:gridCol w:w="109"/>
        <w:gridCol w:w="109"/>
        <w:gridCol w:w="109"/>
        <w:gridCol w:w="109"/>
        <w:gridCol w:w="274"/>
        <w:gridCol w:w="801"/>
        <w:gridCol w:w="200"/>
      </w:tblGrid>
      <w:tr>
        <w:trPr/>
        <w:tc>
          <w:tcPr>
            <w:tcW w:w="176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 Change</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asset impairments and other,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ON Semiconductor Corporation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information relating to our segment results (in millions):</w:t>
      </w:r>
    </w:p>
    <w:tbl>
      <w:tblPr>
        <w:tblW w:w="10205" w:type="dxa"/>
        <w:jc w:val="left"/>
        <w:tblInd w:w="0" w:type="dxa"/>
        <w:tblLayout w:type="fixed"/>
        <w:tblCellMar>
          <w:top w:w="28" w:type="dxa"/>
          <w:left w:w="28" w:type="dxa"/>
          <w:bottom w:w="28" w:type="dxa"/>
          <w:right w:w="28" w:type="dxa"/>
        </w:tblCellMar>
      </w:tblPr>
      <w:tblGrid>
        <w:gridCol w:w="462"/>
        <w:gridCol w:w="408"/>
        <w:gridCol w:w="409"/>
        <w:gridCol w:w="371"/>
        <w:gridCol w:w="1348"/>
        <w:gridCol w:w="191"/>
        <w:gridCol w:w="109"/>
        <w:gridCol w:w="109"/>
        <w:gridCol w:w="109"/>
        <w:gridCol w:w="354"/>
        <w:gridCol w:w="284"/>
        <w:gridCol w:w="661"/>
        <w:gridCol w:w="109"/>
        <w:gridCol w:w="109"/>
        <w:gridCol w:w="109"/>
        <w:gridCol w:w="371"/>
        <w:gridCol w:w="1348"/>
        <w:gridCol w:w="191"/>
        <w:gridCol w:w="109"/>
        <w:gridCol w:w="109"/>
        <w:gridCol w:w="109"/>
        <w:gridCol w:w="354"/>
        <w:gridCol w:w="284"/>
        <w:gridCol w:w="661"/>
        <w:gridCol w:w="109"/>
        <w:gridCol w:w="109"/>
        <w:gridCol w:w="109"/>
        <w:gridCol w:w="256"/>
        <w:gridCol w:w="748"/>
        <w:gridCol w:w="196"/>
      </w:tblGrid>
      <w:tr>
        <w:trPr/>
        <w:tc>
          <w:tcPr>
            <w:tcW w:w="46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 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 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 Change</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PSG</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PSG</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3"/>
              </w:rPr>
              <w:t>(1)</w:t>
            </w:r>
          </w:p>
        </w:tc>
        <w:tc>
          <w:tcPr>
            <w:tcW w:w="1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PSG</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profit margin as a percentage of respective segment revenue balances.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was $1,603.5 million and $1,468.7 million for the quarters ended July 3, 2026 and July 4, 2025, respectively, representing an increase of $134.8 million, or approximately 9%, year over year due to increased demand across all end-markets. We had one customer, a distributor, whose revenue accounted for approximately 14% and 12% of our total revenue for each of the quarters ended July 3, 2026 and July 4, 2025, across all reportable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from PSG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PSG increased by $130.8 million, or approximately 19%, for the quarter ended July 3, 2026 compared to the quarter ended July 4, 2025 due to increased demand. This was driven by an increase in revenue of $44.5 million, $22.4 million and $63.9 million in the automotive, industrial and other end-markets,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from AMG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AMG decreased by $10.2 million, or approximately 2%, for the quarter ended July 3, 2026 compared to the quarter ended July 4, 2025, primarily driven by a decrease of $11.5 million within the industrial end-market due to lower demand, while the sales within the automotive and other end-markets remained relatively consistent.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from ISG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ISG increased by $14.2 million, or approximately 7%, for the quarter ended July 3, 2026 compared to the quarter ended July 4, 2025 due to increased demand. This was driven by an increase in revenue of $2.6 million, $5.6 million and $6.0 million in the automotive, industrial and other end-markets.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by Geographic Location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Revenue by geographic location, based on sales billed from the respective country or region, was as follows (dollars in millions):</w:t>
      </w:r>
      <w:r>
        <w:rPr>
          <w:color w:val="000000"/>
        </w:rPr>
        <w:t> </w:t>
      </w:r>
    </w:p>
    <w:tbl>
      <w:tblPr>
        <w:tblW w:w="9497" w:type="dxa"/>
        <w:jc w:val="left"/>
        <w:tblInd w:w="0" w:type="dxa"/>
        <w:tblLayout w:type="fixed"/>
        <w:tblCellMar>
          <w:top w:w="28" w:type="dxa"/>
          <w:left w:w="28" w:type="dxa"/>
          <w:bottom w:w="28" w:type="dxa"/>
          <w:right w:w="28" w:type="dxa"/>
        </w:tblCellMar>
      </w:tblPr>
      <w:tblGrid>
        <w:gridCol w:w="539"/>
        <w:gridCol w:w="470"/>
        <w:gridCol w:w="476"/>
        <w:gridCol w:w="416"/>
        <w:gridCol w:w="1513"/>
        <w:gridCol w:w="215"/>
        <w:gridCol w:w="109"/>
        <w:gridCol w:w="109"/>
        <w:gridCol w:w="109"/>
        <w:gridCol w:w="307"/>
        <w:gridCol w:w="307"/>
        <w:gridCol w:w="765"/>
        <w:gridCol w:w="109"/>
        <w:gridCol w:w="109"/>
        <w:gridCol w:w="109"/>
        <w:gridCol w:w="416"/>
        <w:gridCol w:w="1513"/>
        <w:gridCol w:w="215"/>
        <w:gridCol w:w="109"/>
        <w:gridCol w:w="109"/>
        <w:gridCol w:w="109"/>
        <w:gridCol w:w="277"/>
        <w:gridCol w:w="277"/>
        <w:gridCol w:w="810"/>
      </w:tblGrid>
      <w:tr>
        <w:trPr/>
        <w:tc>
          <w:tcPr>
            <w:tcW w:w="53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w:t>
            </w:r>
          </w:p>
          <w:p>
            <w:pPr>
              <w:pStyle w:val="TableContents"/>
              <w:bidi w:val="0"/>
              <w:spacing w:lineRule="auto" w:line="240" w:before="0" w:after="0"/>
              <w:jc w:val="center"/>
              <w:rPr/>
            </w:pPr>
            <w:r>
              <w:rPr>
                <w:rFonts w:ascii="Times New Roman;serif" w:hAnsi="Times New Roman;serif"/>
                <w:b/>
                <w:color w:val="000000"/>
                <w:sz w:val="16"/>
              </w:rPr>
              <w:t xml:space="preserve">Total Revenue </w:t>
            </w:r>
            <w:r>
              <w:rPr>
                <w:rFonts w:ascii="Times New Roman;serif" w:hAnsi="Times New Roman;serif"/>
                <w:b/>
                <w:color w:val="000000"/>
                <w:sz w:val="10"/>
              </w:rPr>
              <w:t>(1)</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w:t>
            </w:r>
          </w:p>
          <w:p>
            <w:pPr>
              <w:pStyle w:val="TableContents"/>
              <w:bidi w:val="0"/>
              <w:spacing w:lineRule="auto" w:line="240" w:before="0" w:after="0"/>
              <w:jc w:val="center"/>
              <w:rPr/>
            </w:pPr>
            <w:r>
              <w:rPr>
                <w:rFonts w:ascii="Times New Roman;serif" w:hAnsi="Times New Roman;serif"/>
                <w:b/>
                <w:color w:val="000000"/>
                <w:sz w:val="16"/>
              </w:rPr>
              <w:t xml:space="preserve">Total Revenue </w:t>
            </w:r>
            <w:r>
              <w:rPr>
                <w:rFonts w:ascii="Times New Roman;serif" w:hAnsi="Times New Roman;serif"/>
                <w:b/>
                <w:color w:val="000000"/>
                <w:sz w:val="10"/>
              </w:rPr>
              <w:t>(1)</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Certain amounts may not total due to rounding of individual amounts.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increased by $64.4 million, or approximately 12%, to $616.3 million for the quarter ended July 3, 2026 compared to $551.9 million for the quarter ended July 4, 2025 primarily due to increased revenue across all end-markets, improved manufacturing utilization and favorable mix within certain 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gross margin increased by 0.8 percentage points from 37.6% for the quarter ended July 4, 2025 to 38.4% for the quarter ended July 3, 2026. The increase was primarily driven by improved manufacturing utilization and favorable mix within certain business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PSG gross profit increased by $49.5 million, primarily driven by higher revenue across all end</w:t>
        <w:noBreakHyphen/>
        <w:t>markets and improved absorption resulting from higher manufacturing utilization. PSG gross margin increased by 1.9 percentage points to 27.8% from 25.9%, primarily due to improved utilization and operating leverage on higher volumes during the quarter ended July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AMG gross profit increased by $9.4 million and gross margin increased by 2.7 percentage points to 53.4% from 50.7%, primarily due to a more favorable product mix, including a higher proportion of higher-margin products, which more than offset lower industrial end-market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ISG gross profit increased by $5.5 million, primarily driven by higher revenue across all end-markets. ISG gross margin decreased to 41.4% from 41.6%.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Research and development expenses were $140.8 million for the quarter ended July 3, 2026, as compared to $143.8 million for the quarter ended July 4, 2025, representing a decrease of $3.0 million, or approximately 2%. The decrease was</w:t>
      </w:r>
      <w:r>
        <w:rPr>
          <w:color w:val="000000"/>
          <w:shd w:fill="FFFFFF" w:val="clear"/>
        </w:rPr>
        <w:t xml:space="preserve"> </w:t>
      </w:r>
      <w:r>
        <w:rPr>
          <w:rFonts w:ascii="Times New Roman;serif" w:hAnsi="Times New Roman;serif"/>
          <w:b w:val="false"/>
          <w:color w:val="000000"/>
          <w:sz w:val="20"/>
          <w:shd w:fill="FFFFFF" w:val="clear"/>
        </w:rPr>
        <w:t xml:space="preserve">primarily attributable to </w:t>
      </w:r>
      <w:r>
        <w:rPr>
          <w:rFonts w:ascii="Times New Roman;serif" w:hAnsi="Times New Roman;serif"/>
          <w:b w:val="false"/>
          <w:color w:val="000000"/>
          <w:sz w:val="20"/>
        </w:rPr>
        <w:t>a decrease</w:t>
      </w:r>
      <w:r>
        <w:rPr>
          <w:color w:val="000000"/>
          <w:shd w:fill="FFFFFF" w:val="clear"/>
        </w:rPr>
        <w:t xml:space="preserve"> </w:t>
      </w:r>
      <w:r>
        <w:rPr>
          <w:rFonts w:ascii="Times New Roman;serif" w:hAnsi="Times New Roman;serif"/>
          <w:b w:val="false"/>
          <w:color w:val="000000"/>
          <w:sz w:val="20"/>
          <w:shd w:fill="FFFFFF" w:val="clear"/>
        </w:rPr>
        <w:t>in production material costs and other variable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were $63.3 million for the quarter ended July 3, 2026, as compared to $63.3 million for the quarter ended July 4,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General and administrative expenses were $101.9 million for the quarter ended July 3, 2026, as compared to $91.2 million for the quarter ended July 4, 2025, representing an increase of $10.7 million, or approximately 12%. The increase was</w:t>
      </w:r>
      <w:r>
        <w:rPr>
          <w:color w:val="000000"/>
          <w:shd w:fill="FFFFFF" w:val="clear"/>
        </w:rPr>
        <w:t xml:space="preserve"> </w:t>
      </w:r>
      <w:r>
        <w:rPr>
          <w:rFonts w:ascii="Times New Roman;serif" w:hAnsi="Times New Roman;serif"/>
          <w:b w:val="false"/>
          <w:color w:val="000000"/>
          <w:sz w:val="20"/>
          <w:shd w:fill="FFFFFF" w:val="clear"/>
        </w:rPr>
        <w:t>primarily attributable to third-party acquisition costs for the proposed Synaptics Merger and higher payroll</w:t>
        <w:noBreakHyphen/>
        <w:t>related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Operating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Amortization of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was $10.5 million for the quarter ended July 3, 2026, as compared to $11.0 million for the quarter ended July 4, 2025, representing a decrease of $0.5 million, or approximately 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Restructuring, Asset Impairments and Other,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asset impairments and other, net was $41.2 million for the quarter ended July 3, 2026, as compared to $49.2 million for the quarter ended July 4, 2025. Charges incurred for the quarter ended July 3, 2026 related to restructuring actions during the period. See Note 5: ''Restructuring, Asset Impairments and Other, Net'' in the notes to our unaudited consolidated financial statements included elsewhere in this Form 10-Q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$4.2 million to $13.7 million during the quarter ended July 3, 2026, as compared to $17.9 million during the quarter ended July 4, 2025, due to the repayment of the Revolving Credit Facility on December 31, 2025. Our average gross long-term debt for the quarter ended July 3, 2026 was $3,754.9 million at a weighted-average interest rate of 1.5%, as compared to $3,379.9 million at a weighted-average interest rate of 2.1% for the quarter ended July 4,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$7.8 million, or approximately 31%, to $17.4 million during the quarter ended July 3, 2026 compared to $25.2 million during the quarter ended July 4, 2025. The decrease was primarily attributable to lower interest rates earned on cash equivalents and short</w:t>
        <w:noBreakHyphen/>
        <w:t>term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July 3, 2026, other income was $8.6 million compared to other income of $1.5 million during the quarter ended July 4, 2025, primarily attributable to increased dividend income.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an income tax provision of $43.4 million and $30.5 million for the quarters ended July 3, 2026 and July 4, 2025, respectively, representing effective tax rates of 16.0% and 15.1%,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see Note 13: ''Income Taxes'' in the notes to the unaudited consolidated financial statements included elsewhere in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Six Months Ended</w:t>
      </w:r>
      <w:r>
        <w:rPr>
          <w:color w:val="000000"/>
        </w:rPr>
        <w:t xml:space="preserve"> </w:t>
      </w:r>
      <w:r>
        <w:rPr>
          <w:rFonts w:ascii="Times New Roman;serif" w:hAnsi="Times New Roman;serif"/>
          <w:b/>
          <w:i/>
          <w:color w:val="000000"/>
          <w:sz w:val="20"/>
        </w:rPr>
        <w:t xml:space="preserve">July 3, 2026 compared to the Six Months Ended July 4, 2025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following table summarizes certain information relating to our operating results that has been derived from our unaudited consolidated financial statements (in millions):</w:t>
      </w:r>
      <w:r>
        <w:rPr>
          <w:color w:val="000000"/>
        </w:rPr>
        <w:t> </w:t>
      </w:r>
    </w:p>
    <w:tbl>
      <w:tblPr>
        <w:tblW w:w="9455" w:type="dxa"/>
        <w:jc w:val="left"/>
        <w:tblInd w:w="0" w:type="dxa"/>
        <w:tblLayout w:type="fixed"/>
        <w:tblCellMar>
          <w:top w:w="28" w:type="dxa"/>
          <w:left w:w="28" w:type="dxa"/>
          <w:bottom w:w="28" w:type="dxa"/>
          <w:right w:w="28" w:type="dxa"/>
        </w:tblCellMar>
      </w:tblPr>
      <w:tblGrid>
        <w:gridCol w:w="1937"/>
        <w:gridCol w:w="1706"/>
        <w:gridCol w:w="1711"/>
        <w:gridCol w:w="211"/>
        <w:gridCol w:w="766"/>
        <w:gridCol w:w="109"/>
        <w:gridCol w:w="109"/>
        <w:gridCol w:w="109"/>
        <w:gridCol w:w="109"/>
        <w:gridCol w:w="211"/>
        <w:gridCol w:w="766"/>
        <w:gridCol w:w="109"/>
        <w:gridCol w:w="109"/>
        <w:gridCol w:w="109"/>
        <w:gridCol w:w="109"/>
        <w:gridCol w:w="274"/>
        <w:gridCol w:w="801"/>
        <w:gridCol w:w="200"/>
      </w:tblGrid>
      <w:tr>
        <w:trPr/>
        <w:tc>
          <w:tcPr>
            <w:tcW w:w="193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 Change</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asset impairments and other,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ON Semiconductor Corporation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information relating to our segment results (in millions):</w:t>
      </w:r>
    </w:p>
    <w:tbl>
      <w:tblPr>
        <w:tblW w:w="10205" w:type="dxa"/>
        <w:jc w:val="left"/>
        <w:tblInd w:w="0" w:type="dxa"/>
        <w:tblLayout w:type="fixed"/>
        <w:tblCellMar>
          <w:top w:w="28" w:type="dxa"/>
          <w:left w:w="28" w:type="dxa"/>
          <w:bottom w:w="28" w:type="dxa"/>
          <w:right w:w="28" w:type="dxa"/>
        </w:tblCellMar>
      </w:tblPr>
      <w:tblGrid>
        <w:gridCol w:w="452"/>
        <w:gridCol w:w="399"/>
        <w:gridCol w:w="400"/>
        <w:gridCol w:w="395"/>
        <w:gridCol w:w="1437"/>
        <w:gridCol w:w="204"/>
        <w:gridCol w:w="109"/>
        <w:gridCol w:w="109"/>
        <w:gridCol w:w="109"/>
        <w:gridCol w:w="354"/>
        <w:gridCol w:w="283"/>
        <w:gridCol w:w="650"/>
        <w:gridCol w:w="109"/>
        <w:gridCol w:w="109"/>
        <w:gridCol w:w="109"/>
        <w:gridCol w:w="395"/>
        <w:gridCol w:w="1437"/>
        <w:gridCol w:w="204"/>
        <w:gridCol w:w="109"/>
        <w:gridCol w:w="109"/>
        <w:gridCol w:w="109"/>
        <w:gridCol w:w="307"/>
        <w:gridCol w:w="309"/>
        <w:gridCol w:w="483"/>
        <w:gridCol w:w="109"/>
        <w:gridCol w:w="109"/>
        <w:gridCol w:w="109"/>
        <w:gridCol w:w="239"/>
        <w:gridCol w:w="767"/>
        <w:gridCol w:w="182"/>
      </w:tblGrid>
      <w:tr>
        <w:trPr/>
        <w:tc>
          <w:tcPr>
            <w:tcW w:w="4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a %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 Change</w:t>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PSG</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PSG</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1,917.4 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3"/>
              </w:rPr>
              <w:t>(1)</w:t>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PSG</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w:t>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w:t>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profit margin as a percentage of respective segment revenue balances.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was $3,116.8 million and $2,914.4 million for the six months ended July 3, 2026 and July 4, 2025, respectively, representing an increase of $202.4 million, or approximately 7%, year over year due to increased demand across all end-markets. We had one customer, a distributor, whose revenue accounted for approximately 13% and 11% of our total revenue for the six months ended July 3, 2026 and July 4,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from PSG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PSG increased by $222.3 million, or approximately 17%, for the six months ended July 3, 2026 compared to the six months ended July 4, 2025 due to increased demand. This was driven by an increase in revenue of $97.6 million, $29.8 million and $94.9 million in the automotive, industrial and other end-markets,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from AMG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AMG decreased by $36.2 million, or approximately 3%, for the six months ended July 3, 2026 compared to the six months ended July 4, 2025 attributable to lower demand in all end-markets. This was driven by a decrease in revenue of $15.3 million, $6.5 million and $14.4 million in the automotive, industrial and other end-markets,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from ISG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ISG increased by $16.3 million, or approximately 4%, for the six months ended July 3, 2026 compared to the six months ended July 4, 2025 due to increased demand. This was driven by an increase in revenue of $1.2 million, $10.2 million and $4.9 million in the automotive, industrial and other end-markets.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by Geographic Location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by geographic location, based on sales billed from the respective country or region, was as follows (dollars in millions):</w:t>
      </w:r>
    </w:p>
    <w:tbl>
      <w:tblPr>
        <w:tblW w:w="9917" w:type="dxa"/>
        <w:jc w:val="left"/>
        <w:tblInd w:w="0" w:type="dxa"/>
        <w:tblLayout w:type="fixed"/>
        <w:tblCellMar>
          <w:top w:w="28" w:type="dxa"/>
          <w:left w:w="28" w:type="dxa"/>
          <w:bottom w:w="28" w:type="dxa"/>
          <w:right w:w="28" w:type="dxa"/>
        </w:tblCellMar>
      </w:tblPr>
      <w:tblGrid>
        <w:gridCol w:w="539"/>
        <w:gridCol w:w="470"/>
        <w:gridCol w:w="476"/>
        <w:gridCol w:w="457"/>
        <w:gridCol w:w="1661"/>
        <w:gridCol w:w="236"/>
        <w:gridCol w:w="109"/>
        <w:gridCol w:w="109"/>
        <w:gridCol w:w="109"/>
        <w:gridCol w:w="307"/>
        <w:gridCol w:w="307"/>
        <w:gridCol w:w="765"/>
        <w:gridCol w:w="109"/>
        <w:gridCol w:w="109"/>
        <w:gridCol w:w="109"/>
        <w:gridCol w:w="457"/>
        <w:gridCol w:w="1661"/>
        <w:gridCol w:w="236"/>
        <w:gridCol w:w="109"/>
        <w:gridCol w:w="109"/>
        <w:gridCol w:w="109"/>
        <w:gridCol w:w="277"/>
        <w:gridCol w:w="277"/>
        <w:gridCol w:w="810"/>
      </w:tblGrid>
      <w:tr>
        <w:trPr/>
        <w:tc>
          <w:tcPr>
            <w:tcW w:w="53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w:t>
            </w:r>
          </w:p>
          <w:p>
            <w:pPr>
              <w:pStyle w:val="TableContents"/>
              <w:bidi w:val="0"/>
              <w:spacing w:lineRule="auto" w:line="240" w:before="0" w:after="0"/>
              <w:jc w:val="center"/>
              <w:rPr/>
            </w:pPr>
            <w:r>
              <w:rPr>
                <w:rFonts w:ascii="Times New Roman;serif" w:hAnsi="Times New Roman;serif"/>
                <w:b/>
                <w:color w:val="000000"/>
                <w:sz w:val="16"/>
              </w:rPr>
              <w:t xml:space="preserve">Total Revenue </w:t>
            </w:r>
            <w:r>
              <w:rPr>
                <w:rFonts w:ascii="Times New Roman;serif" w:hAnsi="Times New Roman;serif"/>
                <w:b/>
                <w:color w:val="000000"/>
                <w:sz w:val="10"/>
              </w:rPr>
              <w:t>(1)</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a % of</w:t>
            </w:r>
          </w:p>
          <w:p>
            <w:pPr>
              <w:pStyle w:val="TableContents"/>
              <w:bidi w:val="0"/>
              <w:spacing w:lineRule="auto" w:line="240" w:before="0" w:after="0"/>
              <w:jc w:val="center"/>
              <w:rPr/>
            </w:pPr>
            <w:r>
              <w:rPr>
                <w:rFonts w:ascii="Times New Roman;serif" w:hAnsi="Times New Roman;serif"/>
                <w:b/>
                <w:color w:val="000000"/>
                <w:sz w:val="16"/>
              </w:rPr>
              <w:t xml:space="preserve">Total Revenue </w:t>
            </w:r>
            <w:r>
              <w:rPr>
                <w:rFonts w:ascii="Times New Roman;serif" w:hAnsi="Times New Roman;serif"/>
                <w:b/>
                <w:color w:val="000000"/>
                <w:sz w:val="10"/>
              </w:rPr>
              <w:t>(1)</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2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2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Certain amounts may not total due to rounding of individual amounts.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increased by $353.7 million, or approximately 42%, to $1,199.4 million for the six months ended July 3, 2026 compared to $845.7 million for the six months ended July 4, 2025 primarily due to the absence of $235.8 million of excess and obsolete inventory charges and a decrease in write-offs of consumables and manufacturing supplies recognized during the six months ended July 4,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gross margin increased by 9.5 percentage points from 29.0% for the six months ended July 4, 2025 to 38.5% for the six months ended July 3, 2026. The increase was primarily driven by the absence of prior-year excess and obsolete inventory charges and a decrease in consumables write-offs, slightly improved manufacturing utilization and favorable mix within certain business segments, partially offset by lower volumes in select end-markets.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PSG gross profit increased by $126.7 million, primarily driven by higher revenue across all end-markets and improved absorption resulting from higher manufacturing utilization. PSG gross margin increased by 4.9 percentage points to 27.5% from 22.6%, primarily due to the decrease in write-offs of consumables and manufacturing supplies charge during the six months ended July 4, 2025, as well as improved utilization and operating leverage on higher volumes during the six months ended July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AMG gross profit decreased by $1.9 million, primarily driven by the decline in demand across all end-markets. AMG gross margin increased by 1.6 percentage points to 53.5% from 51.9% primarily due to product mix, including a higher proportion of higher-margin offerings, which partially offset the impact of lower overall volume.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ISG gross profit increased by $228.9 million and gross margin increased to 40.4% from (9.1)%, primarily due to the absence of $230.3 million of excess and obsolete inventory charges recognized during the six months ended July 4, 2025, which did not reoccur during the six months ended July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Research and development expenses were </w:t>
      </w:r>
      <w:r>
        <w:rPr>
          <w:rFonts w:ascii="Times New Roman;serif" w:hAnsi="Times New Roman;serif"/>
          <w:b w:val="false"/>
          <w:color w:val="000000"/>
          <w:sz w:val="20"/>
          <w:shd w:fill="FFFFFF" w:val="clear"/>
        </w:rPr>
        <w:t>$285.1 million</w:t>
      </w:r>
      <w:r>
        <w:rPr>
          <w:color w:val="000000"/>
        </w:rPr>
        <w:t xml:space="preserve"> </w:t>
      </w:r>
      <w:r>
        <w:rPr>
          <w:rFonts w:ascii="Times New Roman;serif" w:hAnsi="Times New Roman;serif"/>
          <w:b w:val="false"/>
          <w:color w:val="000000"/>
          <w:sz w:val="20"/>
        </w:rPr>
        <w:t xml:space="preserve">for the six months ended July 3, 2026, as compared to </w:t>
      </w:r>
      <w:r>
        <w:rPr>
          <w:rFonts w:ascii="Times New Roman;serif" w:hAnsi="Times New Roman;serif"/>
          <w:b w:val="false"/>
          <w:color w:val="000000"/>
          <w:sz w:val="20"/>
          <w:shd w:fill="FFFFFF" w:val="clear"/>
        </w:rPr>
        <w:t>$307.9 million</w:t>
      </w:r>
      <w:r>
        <w:rPr>
          <w:color w:val="000000"/>
        </w:rPr>
        <w:t xml:space="preserve"> </w:t>
      </w:r>
      <w:r>
        <w:rPr>
          <w:rFonts w:ascii="Times New Roman;serif" w:hAnsi="Times New Roman;serif"/>
          <w:b w:val="false"/>
          <w:color w:val="000000"/>
          <w:sz w:val="20"/>
        </w:rPr>
        <w:t>for the six months ended July 4, 2025, representing</w:t>
      </w:r>
      <w:r>
        <w:rPr>
          <w:color w:val="000000"/>
          <w:shd w:fill="FFFFFF" w:val="clear"/>
        </w:rPr>
        <w:t xml:space="preserve"> </w:t>
      </w:r>
      <w:r>
        <w:rPr>
          <w:rFonts w:ascii="Times New Roman;serif" w:hAnsi="Times New Roman;serif"/>
          <w:b w:val="false"/>
          <w:color w:val="000000"/>
          <w:sz w:val="20"/>
        </w:rPr>
        <w:t>a decrease</w:t>
      </w:r>
      <w:r>
        <w:rPr>
          <w:color w:val="000000"/>
          <w:shd w:fill="FFFFFF" w:val="clear"/>
        </w:rPr>
        <w:t xml:space="preserve"> </w:t>
      </w:r>
      <w:r>
        <w:rPr>
          <w:rFonts w:ascii="Times New Roman;serif" w:hAnsi="Times New Roman;serif"/>
          <w:b w:val="false"/>
          <w:color w:val="000000"/>
          <w:sz w:val="20"/>
          <w:shd w:fill="FFFFFF" w:val="clear"/>
        </w:rPr>
        <w:t xml:space="preserve">of $22.8 million, or approximately </w:t>
      </w:r>
      <w:r>
        <w:rPr>
          <w:rFonts w:ascii="Times New Roman;serif" w:hAnsi="Times New Roman;serif"/>
          <w:b w:val="false"/>
          <w:color w:val="000000"/>
          <w:sz w:val="20"/>
        </w:rPr>
        <w:t>7%</w:t>
      </w:r>
      <w:r>
        <w:rPr>
          <w:rFonts w:ascii="Times New Roman;serif" w:hAnsi="Times New Roman;serif"/>
          <w:b w:val="false"/>
          <w:color w:val="000000"/>
          <w:sz w:val="20"/>
          <w:shd w:fill="FFFFFF" w:val="clear"/>
        </w:rPr>
        <w:t>. The decrease was primarily attributable to a decrease in production material costs and other variable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Selling and marketing expenses were </w:t>
      </w:r>
      <w:r>
        <w:rPr>
          <w:rFonts w:ascii="Times New Roman;serif" w:hAnsi="Times New Roman;serif"/>
          <w:b w:val="false"/>
          <w:color w:val="000000"/>
          <w:sz w:val="20"/>
          <w:shd w:fill="FFFFFF" w:val="clear"/>
        </w:rPr>
        <w:t>$126.3 million</w:t>
      </w:r>
      <w:r>
        <w:rPr>
          <w:color w:val="000000"/>
        </w:rPr>
        <w:t xml:space="preserve"> </w:t>
      </w:r>
      <w:r>
        <w:rPr>
          <w:rFonts w:ascii="Times New Roman;serif" w:hAnsi="Times New Roman;serif"/>
          <w:b w:val="false"/>
          <w:color w:val="000000"/>
          <w:sz w:val="20"/>
        </w:rPr>
        <w:t xml:space="preserve">for the six months ended July 3, 2026, as compared to </w:t>
      </w:r>
      <w:r>
        <w:rPr>
          <w:rFonts w:ascii="Times New Roman;serif" w:hAnsi="Times New Roman;serif"/>
          <w:b w:val="false"/>
          <w:color w:val="000000"/>
          <w:sz w:val="20"/>
          <w:shd w:fill="FFFFFF" w:val="clear"/>
        </w:rPr>
        <w:t>$131.6 million</w:t>
      </w:r>
      <w:r>
        <w:rPr>
          <w:color w:val="000000"/>
        </w:rPr>
        <w:t xml:space="preserve"> </w:t>
      </w:r>
      <w:r>
        <w:rPr>
          <w:rFonts w:ascii="Times New Roman;serif" w:hAnsi="Times New Roman;serif"/>
          <w:b w:val="false"/>
          <w:color w:val="000000"/>
          <w:sz w:val="20"/>
        </w:rPr>
        <w:t>for the six months ended July 4, 2025, representing a decrease of $5.3 million, or approximately 4%.</w:t>
      </w:r>
      <w:r>
        <w:rPr>
          <w:color w:val="000000"/>
          <w:shd w:fill="FFFFFF" w:val="clear"/>
        </w:rPr>
        <w:t xml:space="preserve"> </w:t>
      </w:r>
      <w:r>
        <w:rPr>
          <w:rFonts w:ascii="Times New Roman;serif" w:hAnsi="Times New Roman;serif"/>
          <w:b w:val="false"/>
          <w:color w:val="000000"/>
          <w:sz w:val="20"/>
          <w:shd w:fill="FFFFFF" w:val="clear"/>
        </w:rPr>
        <w:t>The decrease was primarily attributable to lower payroll-related expenses and reduced commission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General </w:t>
      </w:r>
      <w:r>
        <w:rPr>
          <w:rFonts w:ascii="Times New Roman;serif" w:hAnsi="Times New Roman;serif"/>
          <w:b w:val="false"/>
          <w:color w:val="000000"/>
          <w:sz w:val="20"/>
          <w:shd w:fill="FFFFFF" w:val="clear"/>
        </w:rPr>
        <w:t xml:space="preserve">and administrative expenses were $191.3 million for the six months ended July 3, 2026, as compared to $175.6 million for the six months ended July 4, 2025, representing </w:t>
      </w:r>
      <w:r>
        <w:rPr>
          <w:rFonts w:ascii="Times New Roman;serif" w:hAnsi="Times New Roman;serif"/>
          <w:b w:val="false"/>
          <w:color w:val="000000"/>
          <w:sz w:val="20"/>
        </w:rPr>
        <w:t>an increase</w:t>
      </w:r>
      <w:r>
        <w:rPr>
          <w:color w:val="000000"/>
          <w:shd w:fill="FFFFFF" w:val="clear"/>
        </w:rPr>
        <w:t xml:space="preserve"> </w:t>
      </w:r>
      <w:r>
        <w:rPr>
          <w:rFonts w:ascii="Times New Roman;serif" w:hAnsi="Times New Roman;serif"/>
          <w:b w:val="false"/>
          <w:color w:val="000000"/>
          <w:sz w:val="20"/>
          <w:shd w:fill="FFFFFF" w:val="clear"/>
        </w:rPr>
        <w:t>of $15.7 million, or approximately 9%. The increase was primarily attributable to third-party acquisition costs for the proposed Synaptics Merger and higher payroll-related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Operating 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Amortization of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Amortization of intangible assets was </w:t>
      </w:r>
      <w:r>
        <w:rPr>
          <w:rFonts w:ascii="Times New Roman;serif" w:hAnsi="Times New Roman;serif"/>
          <w:b w:val="false"/>
          <w:color w:val="000000"/>
          <w:sz w:val="20"/>
          <w:shd w:fill="FFFFFF" w:val="clear"/>
        </w:rPr>
        <w:t>$21.0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$22.4 million</w:t>
      </w:r>
      <w:r>
        <w:rPr>
          <w:color w:val="000000"/>
        </w:rPr>
        <w:t xml:space="preserve"> </w:t>
      </w:r>
      <w:r>
        <w:rPr>
          <w:rFonts w:ascii="Times New Roman;serif" w:hAnsi="Times New Roman;serif"/>
          <w:b w:val="false"/>
          <w:color w:val="000000"/>
          <w:sz w:val="20"/>
        </w:rPr>
        <w:t>for the six months ended July 3, 2026 and July 4, 2025, respectively, representing a decrease of $1.4 million, or approximately 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Restructuring, Asset Impairments and Other,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Restructuring, asset impairments and other, net was </w:t>
      </w:r>
      <w:r>
        <w:rPr>
          <w:rFonts w:ascii="Times New Roman;serif" w:hAnsi="Times New Roman;serif"/>
          <w:b w:val="false"/>
          <w:color w:val="000000"/>
          <w:sz w:val="20"/>
          <w:shd w:fill="FFFFFF" w:val="clear"/>
        </w:rPr>
        <w:t>$370.5 million</w:t>
      </w:r>
      <w:r>
        <w:rPr>
          <w:color w:val="000000"/>
        </w:rPr>
        <w:t xml:space="preserve"> </w:t>
      </w:r>
      <w:r>
        <w:rPr>
          <w:rFonts w:ascii="Times New Roman;serif" w:hAnsi="Times New Roman;serif"/>
          <w:b w:val="false"/>
          <w:color w:val="000000"/>
          <w:sz w:val="20"/>
        </w:rPr>
        <w:t xml:space="preserve">for the six months ended July 3, 2026, as compared to </w:t>
      </w:r>
      <w:r>
        <w:rPr>
          <w:rFonts w:ascii="Times New Roman;serif" w:hAnsi="Times New Roman;serif"/>
          <w:b w:val="false"/>
          <w:color w:val="000000"/>
          <w:sz w:val="20"/>
          <w:shd w:fill="FFFFFF" w:val="clear"/>
        </w:rPr>
        <w:t>$588.5 million</w:t>
      </w:r>
      <w:r>
        <w:rPr>
          <w:color w:val="000000"/>
        </w:rPr>
        <w:t xml:space="preserve"> </w:t>
      </w:r>
      <w:r>
        <w:rPr>
          <w:rFonts w:ascii="Times New Roman;serif" w:hAnsi="Times New Roman;serif"/>
          <w:b w:val="false"/>
          <w:color w:val="000000"/>
          <w:sz w:val="20"/>
        </w:rPr>
        <w:t>for the six months ended July 4, 2025, representing a decrease of $218.0 million. Charges incurred for the six months ended July 3, 2026 primarily relate to restructuring actions during the period. See Note 5: ''Restructuring, Asset Impairments and Other, Net'' in the notes to our unaudited consolidated financial statements included elsewhere in this Form 10-Q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Interest expense decreased by $9.5 million to </w:t>
      </w:r>
      <w:r>
        <w:rPr>
          <w:rFonts w:ascii="Times New Roman;serif" w:hAnsi="Times New Roman;serif"/>
          <w:b w:val="false"/>
          <w:color w:val="000000"/>
          <w:sz w:val="20"/>
          <w:shd w:fill="FFFFFF" w:val="clear"/>
        </w:rPr>
        <w:t>$26.4 million</w:t>
      </w:r>
      <w:r>
        <w:rPr>
          <w:color w:val="000000"/>
        </w:rPr>
        <w:t xml:space="preserve"> </w:t>
      </w:r>
      <w:r>
        <w:rPr>
          <w:rFonts w:ascii="Times New Roman;serif" w:hAnsi="Times New Roman;serif"/>
          <w:b w:val="false"/>
          <w:color w:val="000000"/>
          <w:sz w:val="20"/>
        </w:rPr>
        <w:t xml:space="preserve">during the six months ended July 3, 2026, as compared to </w:t>
      </w:r>
      <w:r>
        <w:rPr>
          <w:rFonts w:ascii="Times New Roman;serif" w:hAnsi="Times New Roman;serif"/>
          <w:b w:val="false"/>
          <w:color w:val="000000"/>
          <w:sz w:val="20"/>
          <w:shd w:fill="FFFFFF" w:val="clear"/>
        </w:rPr>
        <w:t>$35.9 million</w:t>
      </w:r>
      <w:r>
        <w:rPr>
          <w:color w:val="000000"/>
        </w:rPr>
        <w:t xml:space="preserve"> </w:t>
      </w:r>
      <w:r>
        <w:rPr>
          <w:rFonts w:ascii="Times New Roman;serif" w:hAnsi="Times New Roman;serif"/>
          <w:b w:val="false"/>
          <w:color w:val="000000"/>
          <w:sz w:val="20"/>
        </w:rPr>
        <w:t xml:space="preserve">during the six months ended July 4, 2025, due to the repayment of the Revolving Credit Facility on December 31, 2025. Our average gross long-term debt balance for the six months ended July 3, 2026 was $3,754.9 million at a weighted-average interest rate of 2.8%, as compared to $3,379.9 million at a weighted-average interest rate of 2.1% for the six months ended July 4,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Interest income decreased by $16.7 million, or approximately 32%, to </w:t>
      </w:r>
      <w:r>
        <w:rPr>
          <w:rFonts w:ascii="Times New Roman;serif" w:hAnsi="Times New Roman;serif"/>
          <w:b w:val="false"/>
          <w:color w:val="000000"/>
          <w:sz w:val="20"/>
          <w:shd w:fill="FFFFFF" w:val="clear"/>
        </w:rPr>
        <w:t>$35.1 million</w:t>
      </w:r>
      <w:r>
        <w:rPr>
          <w:color w:val="000000"/>
        </w:rPr>
        <w:t xml:space="preserve"> </w:t>
      </w:r>
      <w:r>
        <w:rPr>
          <w:rFonts w:ascii="Times New Roman;serif" w:hAnsi="Times New Roman;serif"/>
          <w:b w:val="false"/>
          <w:color w:val="000000"/>
          <w:sz w:val="20"/>
        </w:rPr>
        <w:t xml:space="preserve">during the six months ended July 3, 2026 compared to </w:t>
      </w:r>
      <w:r>
        <w:rPr>
          <w:rFonts w:ascii="Times New Roman;serif" w:hAnsi="Times New Roman;serif"/>
          <w:b w:val="false"/>
          <w:color w:val="000000"/>
          <w:sz w:val="20"/>
          <w:shd w:fill="FFFFFF" w:val="clear"/>
        </w:rPr>
        <w:t>$51.8 million</w:t>
      </w:r>
      <w:r>
        <w:rPr>
          <w:color w:val="000000"/>
        </w:rPr>
        <w:t xml:space="preserve"> </w:t>
      </w:r>
      <w:r>
        <w:rPr>
          <w:rFonts w:ascii="Times New Roman;serif" w:hAnsi="Times New Roman;serif"/>
          <w:b w:val="false"/>
          <w:color w:val="000000"/>
          <w:sz w:val="20"/>
        </w:rPr>
        <w:t xml:space="preserve">during the six months ended July 4, 2025. The decrease was primarily attributable to lower interest rates earned on cash equivalents and short-term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Other income was </w:t>
      </w:r>
      <w:r>
        <w:rPr>
          <w:rFonts w:ascii="Times New Roman;serif" w:hAnsi="Times New Roman;serif"/>
          <w:b w:val="false"/>
          <w:color w:val="000000"/>
          <w:sz w:val="20"/>
          <w:shd w:fill="FFFFFF" w:val="clear"/>
        </w:rPr>
        <w:t>$12.4 million</w:t>
      </w:r>
      <w:r>
        <w:rPr>
          <w:color w:val="000000"/>
        </w:rPr>
        <w:t xml:space="preserve"> </w:t>
      </w:r>
      <w:r>
        <w:rPr>
          <w:rFonts w:ascii="Times New Roman;serif" w:hAnsi="Times New Roman;serif"/>
          <w:b w:val="false"/>
          <w:color w:val="000000"/>
          <w:sz w:val="20"/>
        </w:rPr>
        <w:t xml:space="preserve">for the six months ended July 3, 2026 as compared to other income of </w:t>
      </w:r>
      <w:r>
        <w:rPr>
          <w:rFonts w:ascii="Times New Roman;serif" w:hAnsi="Times New Roman;serif"/>
          <w:b w:val="false"/>
          <w:color w:val="000000"/>
          <w:sz w:val="20"/>
          <w:shd w:fill="FFFFFF" w:val="clear"/>
        </w:rPr>
        <w:t>$5.6 million</w:t>
      </w:r>
      <w:r>
        <w:rPr>
          <w:color w:val="000000"/>
        </w:rPr>
        <w:t xml:space="preserve"> </w:t>
      </w:r>
      <w:r>
        <w:rPr>
          <w:rFonts w:ascii="Times New Roman;serif" w:hAnsi="Times New Roman;serif"/>
          <w:b w:val="false"/>
          <w:color w:val="000000"/>
          <w:sz w:val="20"/>
        </w:rPr>
        <w:t>for the six months ended July 4, 2025, primarily attributable to increased dividend income.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(Provision) Benefit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recorded an income tax provision of </w:t>
      </w:r>
      <w:r>
        <w:rPr>
          <w:rFonts w:ascii="Times New Roman;serif" w:hAnsi="Times New Roman;serif"/>
          <w:b w:val="false"/>
          <w:color w:val="000000"/>
          <w:sz w:val="20"/>
          <w:shd w:fill="FFFFFF" w:val="clear"/>
        </w:rPr>
        <w:t>$31.7 million</w:t>
      </w:r>
      <w:r>
        <w:rPr>
          <w:color w:val="000000"/>
        </w:rPr>
        <w:t xml:space="preserve"> </w:t>
      </w:r>
      <w:r>
        <w:rPr>
          <w:rFonts w:ascii="Times New Roman;serif" w:hAnsi="Times New Roman;serif"/>
          <w:b w:val="false"/>
          <w:color w:val="000000"/>
          <w:sz w:val="20"/>
        </w:rPr>
        <w:t xml:space="preserve">and income tax benefit of </w:t>
      </w:r>
      <w:r>
        <w:rPr>
          <w:rFonts w:ascii="Times New Roman;serif" w:hAnsi="Times New Roman;serif"/>
          <w:b w:val="false"/>
          <w:color w:val="000000"/>
          <w:sz w:val="20"/>
          <w:shd w:fill="FFFFFF" w:val="clear"/>
        </w:rPr>
        <w:t>$45.3 million</w:t>
      </w:r>
      <w:r>
        <w:rPr>
          <w:color w:val="000000"/>
        </w:rPr>
        <w:t xml:space="preserve"> </w:t>
      </w:r>
      <w:r>
        <w:rPr>
          <w:rFonts w:ascii="Times New Roman;serif" w:hAnsi="Times New Roman;serif"/>
          <w:b w:val="false"/>
          <w:color w:val="000000"/>
          <w:sz w:val="20"/>
        </w:rPr>
        <w:t xml:space="preserve">during the six months ended July 3, 2026 and July 4, 2025, respectively, representing effective tax rates of 14.0% and 12.6%,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see Note 13: ''Income Taxes'' in the notes to the unaudited consolidated financial statements included elsewhere in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cash on hand, short-term investments, cash generated from operations, available borrowings under our Revolving Credit Facility as well as new debt and/or equity issuances. In the near term, we expect to fund our cash requirements by utilizing any or a combination of these principal sources. Our cash and cash equivalents and short-term investments were approximately $3.9 billion as of July 3, 2026, and the Revolving Credit Facility has approximately $1.5 billion available for future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require cash to: (i) fund our operating expenses, working capital requirements, outlays for strategic acquisitions and investments; (ii) service our debt, including principal and interest; (iii) incur capital expenditures; and (iv) repurchase our common stock. During the ordinary course of business, we evaluate our cash requirements and, if necessary, adjust our expenditures to reflect the current market conditions and our projected sales and demand. Future capital expenditures may be impacted by events and transactions that are not currently forecasted.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cash on hand, cash generated from operations, amounts available under the Revolving Credit Facility are adequate to meet our working capital requirements and other business needs for at least the next 12 months and thereafter for the foreseeable future. Because the pending Synaptics acquisition is structured as an all-stock transaction, the merger consideration is not expected to require a significant use of the Company's cash or other liquidity resources. The ultimate treatment of Synaptics' existing indebtedness following the closing of the transaction is unknown at this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continually evaluate our debt and capital structure and, when appropriate, we have completed and may in the future opportunistically undertake various measure to secure liquidity, repurchase shares of our common stock, reduce interest costs, amend, replace, renew, refinance, redeem or repurchase existing key financing arrangements and, in some cases, extend a portion of our debt maturities to continue to provide us additional operating flexibility.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operating activities were $698.8 million and $786.6 million for the six months ended July 3, 2026 and July 4, 2025, respectively. The decrease in operating cash flows by $87.8 million was primarily driven by unfavorable changes in working capital, including the timing of cash receipts and payments.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for the six months ended July 3, 2026 improved compared to the prior</w:t>
        <w:noBreakHyphen/>
        <w:t>year period, primarily due to lower non</w:t>
        <w:noBreakHyphen/>
        <w:t>cash asset impairment and restructuring</w:t>
        <w:noBreakHyphen/>
        <w:t>related charges, partially offset by accelerated depreciation and amortization expense for ROU assets and related improvements that were abandoned in connection with the 2025 and 2026 Manufacturing Realignment Programs. However, these improvements in earnings did not directly translate to higher operating cash flows, as working capital requirements had a more significant impact on cash generation during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generate positive operating cash flows depends on, among other factors, the achievement of revenue targets, management of manufacturing and operating costs and effective management of working capital. The timing of collections from customers, payments to suppliers and inventory management also significantly influences our operating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cash flows used in investing activities were $9.4 million and $336.6 million for the six months ended July 3, 2026 and July 4, 2025, respectively. The decrease of $327.2 million was primarily attributable to a decrease in capital expenditures and a decrease in the payments for acquisition of a business during the six months ended July 3, 2026. Our capital expenditures as a percentage of revenue were approximately 2%, and we expect capital expenditures of less than </w:t>
      </w:r>
      <w:r>
        <w:rPr>
          <w:rFonts w:ascii="Times New Roman;serif" w:hAnsi="Times New Roman;serif"/>
          <w:b w:val="false"/>
          <w:color w:val="000000"/>
          <w:sz w:val="20"/>
          <w:shd w:fill="FFFFFF" w:val="clear"/>
        </w:rPr>
        <w:t>5</w:t>
      </w:r>
      <w:r>
        <w:rPr>
          <w:rFonts w:ascii="Times New Roman;serif" w:hAnsi="Times New Roman;serif"/>
          <w:b w:val="false"/>
          <w:color w:val="000000"/>
          <w:sz w:val="20"/>
        </w:rPr>
        <w:t xml:space="preserve">% of revenue for the year ended December 31, 2026.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cash flows provided by financing activities were $678.1 million for the six months ended July 3, 2026 and our cash flows used in financing activities were $617.7 million for the six months ended July 4, 2025. The change of $1,295.8 million was primarily attributable to the issuance of the $1.5 billion 2031 0% Notes during the six months ended July 3,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0% Notes will mature on May 1, 2027 unless earlier repurchased or redeemed by the Company or converted pursuant to their terms. We expect to continue our New Share Repurchase Program subject to market conditions, the price of our shares and other factors (including liquidity needs). However, the New Share Repurchase Program may be modified, suspended or terminated by the Board of Directors at any time without prior notice.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Key Factors Potentially Affecting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the key factors that could adversely affect our internal and external sources of cash include, among other considerations: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changes in demand for our products, competitive pricing pressures, supply chain constraints, effective management of our manufacturing capacity, our ability to achieve further reductions in operating expenses, our ability to make progress on the achievement of our business strategy and sustainability goals, the impact of our restructuring programs on our production and cost efficiency, and our ability to make the research and development expenditures required to remain competitive in our business; and</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 xml:space="preserve">the debt and equity capital markets could impact our ability to obtain needed financing on acceptable terms or to respond to business opportunities and developments as they arise, including interest rate fluctuations, macroeconomic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sudden reductions in the general availability of lending from banks or the related increase in cost to obtain bank financing and our ability to maintain compliance with covenants under our debt agreements in effect from time to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Debt Guarantees and Related Covenants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 2026, we were in compliance with the indentures relating to our 0% Notes, 2031 0% Notes, 0.50% Notes and 3.875% Notes and with covenants included in the Credit Agreement. The 0% Notes, 2031 0% Notes, 0.50% Notes and 3.875% Notes are senior to the existing and future subordinated indebtedness of onsemi and its guarantor subsidiaries, rank equally in right of payment to all of our existing and future senior debt and, as unsecured obligations, are subordinated to all of our existing and future secured debt to the extent of the assets securing such debt.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recent accounting pronouncements, see Note 3: ''Recent Accounting Pronouncements and Other Developments'' in the notes to the unaudited consolidated financial statements included elsewhere in this Form 10-Q and our 2025 Form 10-K.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Item 3. Quantitative and Qualitative Disclosures About Market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presented in Part II, Item 7A. "Quantitative and Qualitative Disclosures About Market Risk" in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Chief Financial Officer, of the effectiveness of our disclosure controls and procedures (as defined in Rules 13a-15(e) and 15d-15(e) of the Exchange Act). Based upon that evaluation, our Chief Executive Officer and Chief Financial Officer concluded that, as of the end of the period covered in this report, our disclosure controls and procedures were effective to ensure that information required to be disclosed in reports filed or submitted under the Exchange Act is recorded, processed, summarized and reported within the required time periods and is accumulated and communicated to our management, including our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fiscal quarter ended July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our internal control over financial reporting (as defined in Exchange Act Rules 13a-15(f) and 15d-15(f)) that occurred during the fiscal quarter ended July 3, 2026 which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10: ''Commitments and Contingencies'' under the heading "Legal Matters" in the notes to the consolidated unaudited financial statements included elsewhere in this Form 10-Q for additional information on our legal proceedings and related matters. See also Part I, Item 1 "Business - Government Regulation" of the 2025 Form 10-K for information on certain environmental matters.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financial condition and results of operations are subject to a number of trends, risks and uncertainties. We review and, where applicable, update our risk factors each quarter. There have been no material changes from the risk factors disclosed in Part I, Item 1A of the 2025 Form 10-K, other than the addition of the following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Trends, Risks and Uncertainties Related to the Proposed Transaction with Synaptics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Completion of the proposed transaction with Synaptics may be delayed or not occur at all for a variety of reasons, including that the Merger Agreement is terminated, and the failure to complete the Merger could adversely affect our business, results of operations, financial condition, and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25, 2026, we entered into the Merger Agreement with Synaptics, pursuant to which Synaptics will become a wholly owned subsidiary of onsemi. Completion of the Merger is subject to customary closing conditions, including (1) the adoption of the Merger Agreement by the holders of a majority of the shares of Synaptics common stock outstanding and entitled to vote (the “Required Synaptics Stockholder Vote”), (2) the expiration or early termination of the applicable waiting period under the HSR Act, and the approval of the Merger under certain other antitrust and foreign investment regimes, (3) the absence of any order, injunction or law of certain jurisdictions prohibiting the Merger, (4) the effectiveness of the registration statement pursuant to which shares of onsemi common stock to be issued in the Merger will be registered with the SEC, (5) the approval for listing on Nasdaq of shares of onsemi common stock to be issued in the Merger, (6) the accuracy of the other party’s representations and warranties, subject to certain standards set forth in the Merger Agreement, (7) compliance in all material respects with the other party’s covenants and other obligations under the Merger Agreement, (8) the absence of a continuing material adverse effect with respect to each of onsemi and Synaptics, and (9) the receipt by each party of customary closing tax opinions regarding the intended tax treatment of the Merger. Therefore, there can be no assurance that the Merger will be completed in the expected timeframe (mid-2027), or at all. Subject to the terms and conditions of the Merger Agreement, the parties have agreed to use reasonable best efforts to take all actions reasonably necessary to consummate the Merger, including obtaining all required or necessary consents, approvals or waivers from third parties, and cooperating to obtain the regulatory approvals necessary to complete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may be terminated under certain circumstances, including (1) by either onsemi or Synaptics if the Merger is not completed by June 25, 2027, which date may be extended for up to three periods of three months each, in each case under certain circumstances (the “End Date”), (2) by either onsemi or Synaptics if any court or governmental authority of a specified jurisdiction has issued a final non-appealable order or injunction prohibiting the Merger, (3) by onsemi prior to the Required Synaptics Stockholder Vote if the Synaptics Board fails to include in its proxy statement its recommendation to its stockholders to vote in favor of the adoption of the Merger Agreement or changes its recommendation, (4) by Synaptics prior to the Required Synaptics Stockholder Vote in order to accept a Superior Proposal (as defined in the Merger Agreement) (subject to payment of a termination fee, described below), (5) by either onsemi or Synaptics if Synaptics fails to receive the Required Synaptics Stockholder Vote at its stockholder meeting (including any adjournments and postponements thereof), or (6) by either party if the other party materially breaches its covenants, or breaches its representations and warranties, in the Merger Agreement such that the applicable conditions to closing would not be satisfied, subject in certain cases to the right of the breaching party to cure the breach. onsemi and Synaptics may also terminate the Merger Agreement by mutual written consent.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termination of the Merger Agreement, Synaptics, under specified circumstances, including termination by Synaptics to accept a Superior Proposal or by onsemi following a change in recommendation by the Synaptics Board, will be required to pay onsemi a termination fee of $235.0 million. Additionally, onsemi, under specified circumstances, including termination following an injunction arising in connection with certain antitrust or foreign investment laws, or failure to receive certain required regulatory approvals of specified governmental authorities by the End Date, will be required to pay Synaptics a regulatory termination fee of $320.0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Failure to complete the Merger within the expected timeframe or at all could adversely affect our business and the market price of our common stock in a number of ways,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market price of our common stock may decline to the extent that the current market price reflects an assumption that the Merger will be consummated;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Merger Agreement is terminated under certain circumstances specified in the Merger Agreement, we would be required to pay a termination fee as described above;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incurred, and will continue to incur, significant expenses for professional services in connection with the Merger for which we will have received little or no benefit if the Merger is not consummated;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experience negative publicity and/or reactions from our investors, employees, customers, suppliers, distributors and other business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Completion of the proposed Merger is subject to the satisfaction or waiver of closing conditions contained in the Merger Agreement, including certain regulatory approvals which may not be received, may take longer than expected or the receipt of which may impose conditions that are not presently anticipated or that cannot be met, and if these closing conditions are not satisfied or waived, the proposed Merger will not be completed.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Various consents, clearances, approvals, authorizations and declarations of non-objection, or expiration of waiting periods (or extensions thereof), from certain regulatory and governmental authorities in the United States and certain other jurisdictions are included in the Merger Agreement as conditions to completing the proposed Merger. Regulatory and governmental entities may impose conditions on their respective approvals, in which case lengthy negotiations may ensue among such regulatory or governmental entities, the Company and Synaptics. Such conditions, any such negotiations and the process of obtaining such regulatory approvals, consents or clearances, including any potential changes to the terms of the Merger, could have the effect of delaying or preventing consummation of the proposed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of the Merger Agreement, we have agreed to use our reasonable best efforts to take all actions necessary to consummate the Merger, including cooperating to obtain the regulatory approvals necessary to complete the Merger. Nonetheless, certain conditions to the completion of the pending Merger are not within our or Synaptics’s control, and we cannot predict when or if these conditions will be satisfied (or waived, as applicable). There can be no assurance that all required approvals will be obtained or that all closing conditions will otherwise be satisfied (or waived, if applicable), and, if all required approvals are obtained and all closing conditions are satisfied (or waived, if applicable), we can provide no assurance as to the terms, conditions and timing of such approvals or that the pending Merger will be completed in a timely manner or at all. Even if regulatory approvals are obtained, it is possible conditions will be imposed that could result in a material delay in, or the abandonment of, the pending Merger or otherwise have an adverse effect on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realize the benefits expected from the Merger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anticipated benefits we expect from the Merger are based on projections and assumptions regarding Synaptics and our combined company’s future performance, which may not materialize as expected or which may prove to be inaccurate. In addition, Synaptics’ business may not perform as expected during the pendency of the Merger due to, among other factors, restrictions on Synaptics’ interim operations under the Merger Agreement, challenges in retaining and attracting key employees, and uncertainty in its relationships with customers, suppliers, partners and other business counterparties. Any such developments could adversely affect the business and financial performance of the combined company and reduce or delay the anticipated benefits of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operating results and financial condition could be adversely affected if we are unable to realize the anticipated benefits from the Merger on a timely basis, if at all, including, among other things, realizing the anticipated synergies from the Merger in the anticipated amounts or within the anticipated timeframes or cost expectations, if at all. Achieving the benefits of the Merger will depend, in part, on our ability to integrate the business and operations of Synaptics successfully and efficiently with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challenges involved in this integration, which may be complex and time-consuming, include, among others,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avoiding business disruptions, preserving customer and other important relationships of Synaptics and attracting new business and operational relationships;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coordinating and integrating independent research and development and engineering teams across technologies and product platforms to enhance product development while reducing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integrating financial forecasting and controls, procedures and reporting cycles;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consolidating and integrating corporate, IT, finance, human resources and administrative infrastructures;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coordinating sales and marketing efforts to effectively position the combined company’s capabilities and the direction of product development;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integrating Synaptics’s systems, operations and product lines;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meeting obligations that we will have to counterparties of Synaptics that arise as a result of the change in control of Synaptics or otherwise under its commercial agreements;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integrating employees and related HR systems and benefits, maintaining employee productivity and retaining key employees.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do not successfully manage these issues and the other challenges inherent in integrating a new business, then we may not achieve the anticipated benefits of the Merger on our anticipated timeframe, if at all, and our business, revenue, expenses, operating results, financial condition and stock price could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Efforts to complete the Merger could disrupt our relationships with third parties and employees, divert management’s attention, or result in negative publicity or legal proceedings, any of which could adversely impact our operating results and ongoing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expended, and will continue to expend, significant management time and resources in an effort to complete the Merger, which may have a negative impact on our ongoing business and operations. Uncertainty regarding the outcome of the Merger and our future could disrupt our business relationships with our existing and potential customers, distributors, service providers and other business partners, who may attempt to negotiate changes in existing business relationships or consider entering into business relationships with parties other than Synaptics. Uncertainty regarding the outcome of the Merger could also adversely affect our ability to recruit and retain key personnel and other employees. The pendency of the Merger may also result in negative publicity and a negative impression of us in the financial markets, and may lead to litigation or other demands against us and our directors and officers. Even if these matters are without merit, defending against or otherwise resolving these claims can result in substantial costs and divert management time and resources. Such matters would be distracting to management and, may, in the future, require us to incur significant costs. Such matters could result in the Merger being delayed and/or enjoined by a court of competent jurisdiction, which could prevent the Merger from being completed. The occurrence of any of these events individually or in combination could have a material and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While the Merger Agreement is in effect, we are subject to restrictions on our business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warranties and covenants, including, among others, covenants regarding the conduct of our business during the pendency of the transactions contemplated by the Merger Agreement. These restrictions could prevent us from pursuing attractive business opportunities that may arise prior to the consummation of the Merger and could have the effect of delaying or preventing other strategic transactions. Although we may be able to pursue such activities with Synaptics’s consent (and Synaptics is required not to unreasonably withhold such consent), there is no guarantee that Synaptics will provide us with the necessary consent. In addition, repurchases of our common stock during the pendency of the Merger may be subject to restrictions under applicable law. As a result, we may determine or be required to suspend or limit repurchases under our New Share Repurchase Program during the pendency of the Merger. These limitations may prevent us from repurchasing shares of our common stock at times or prices that we would otherwise consider attractive.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As a result of the Merger, we anticipate that the scope and size of our operations and business will substantially change and will result in certain incremental risks to us, including increased competition. We may not realize the full expected benefits of the Merger</w:t>
      </w:r>
      <w:r>
        <w:rPr>
          <w:rFonts w:ascii="Times New Roman;serif" w:hAnsi="Times New Roman;serif"/>
          <w:b w:val="false"/>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that the Merger will substantially expand the scope and size of our business by adding substantial assets and operations to our existing business. Any such future growth of our business will impose significant added responsibilities on management, including, among other things, the need to identify, recruit, train and integrate additional employees. Our senior management’s attention may be diverted from the management of our business and its daily operations to the completion of the Merger and, following the closing, the integration of Synaptics’s business. Further, the Merger could also create uncertainty for our or Synaptics’s employees and customers, particularly during the post-transaction integration process. It could also disrupt existing business relationships, make it more difficult to develop new business relationships, or otherwise negatively impact the way that we operate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anticipate that the Merger will result in increased competition. Synaptics operates in highly competitive segments and is facing increasing competition for its products and services. These competitive pressures may result in decreased sales volumes, price reductions and/or increased operating costs, and could result in lower revenues, margins and net income for the combined company. The Merger could also result in our failure to realize expected synergies or cost savings. Our ability to manage our business and growth will require us to continue to improve our operational, financial and management controls, reporting systems and procedures. We may also encounter risks, costs and expenses associated with any undisclosed or other unanticipated liabilities and use more cash and other financial resources on integration and implementation activities than we expect. We may not be able to integrate the Synaptics business into our existing operations on our anticipated timelines or realize the full expected economic benefits of the Merger, which may have a material adverse effect on our business, operating results and financial condition. In addition, the completion of the Merger may heighten the potential adverse effects on our business, operating results or financial condition described in the risk factors disclosed in Part I, Item 1A of the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treatment of Synaptics’ indebtedness in connection with the Merger may involve repayment or assumption by us of substantial indebtedness, which could reduce our flexibility to operate our business and negatively affect our financial condition, and could result in dilution to our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already have substantial outstanding indebtedness. For risks related to such indebtedness, see the risks set forth in “Trends, Risks and Uncertainties Related to Our Indebtedness” in the 2025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Synaptics has outstanding 4.000% Senior Notes due 2029 (the “Synaptics Senior Notes”). At our request and at our sole cost and expense, Synaptics must use reasonable best efforts to exercise its right to redeem, discharge, defease, or make an offer to repurchase the Synaptics Senior Notes in accordance with their terms, with any such redemption, discharge, defeasance, or repurchase to be effective at the effective time of the Merger or such later time as we may request. In connection with the Merger, we currently intend to cause Synaptics to redeem and/or discharge the Synaptics Senior Notes. In addition, the Merger Agreement requires Synaptics to use its reasonable best efforts to deliver to us an executed payoff letter with respect to Synaptics’ existing $350 million senior secured revolving credit facility with Wells Fargo Bank, National Association, together with all related lien release documentation necessary to effect the release of any liens related to such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fund the repayment, redemption and/or discharge of Synaptics’ indebtedness will depend on, among other factors, prevailing market conditions and other factors beyond our control, and the repayment, redemption and/or discharge – or any such failure to do so – could materially and adversely affect our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Synaptics has outstanding 0.75% Convertible Senior Notes due 2031 (the “Synaptics Convertible Notes”). Following completion of the Merger, the Synaptics Convertible Notes will, pursuant to a supplemental indenture, become convertible into shares of our common stock rather than shares of Synaptics common stock. As a result, any future conversion of the Synaptics Convertible Notes may, depending on the settlement method, result in the issuance of a significant number of additional shares of our common stock, which may only be partially offset by the capped call transactions entered into by Synaptics concurrently with the issuance of the Synaptics Convertible Notes. Any such issuances of shares of our common stock would dilute the ownership interests of our existing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repayment, redemption and/or discharge of Synaptics’ existing indebtedness, our assumption of settlement obligations under the Synaptics Convertible Notes, and any dilution resulting from future conversions of the Synaptics Convertible Notes could have material and adverse effects on our business, operating results and financial condition, including,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 our vulnerability to changing economic, regulatory and industry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limiting our ability to compete and our flexibility in planning for, or reacting to, changes in our business and the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placing us at a competitive disadvantage compared to our competitors with less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requiring us to dedicate a portion of our cash on hand or borrowing capacity to fund the repayment of Synaptics’ existing indebtedness, thereby reducing the availability of cash to fund our business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limiting our ability to return capital (for example, through stock repurchases or dividends) to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limiting our ability to borrow additional funds in the future to fund growth, acquisitions, working capital, capital expenditures or other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diluting the ownership interests of our existing stockholders as a result of any future conversion of the Synaptics Convertible Notes into shares of our common stock;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increasing the risks described under “Trends, Risks and Uncertainties Related to Our Indebtedness” in the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disclosure does not constitute a notice of redemption with respect to the Synaptics 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includes "forward-looking statements," as that term is defined in Section 27A of the Securities Act and Section 21E of the Exchange Act. All statements, other than statements of historical facts, included or incorporated in this Form 10-Q could be deemed forward-looking statements, particularly statements about our plans, strategies, prospects and our proposed acquisition of Synaptics under the heading "Management’s Discussion and Analysis of Financial Condition and Results of Operations." Forward-looking statements are often characterized by the use of words such as "believes," "estimates," "expects," "projects," "may," "will," "intends," "plans," "anticipates," "should" or similar expressions, or by discussions of strategy, plans or intentions. All forward-looking statements in this Form 10-Q are made based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current expectations, forecasts, estimates and assumptions and involve risks, uncertainties and other factors that could cause results or events to differ materially from those expressed in the forward-looking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Important factors that could cause our actual results to differ materially from those anticipated in the forward-looking statements are described under Part I, Item 1A "Risk Factors" in the 2025 Form 10-K, under Part II, Item 1A. "Risk Factors" and elsewhere in this Form 10-Q and from time to time in our other SEC reports. Readers are cautioned not to place undue reliance on forward-looking statements. We assume no obligation to update such information, which speaks only as of the date made, except as may be required by law. Investing in our securities involves a high degree of risk and uncertainty, and you should carefully consider the trends, risks and uncertainties described in the aforementioned reports and subsequent reports filed with or furnished to the SEC before making any investment decision with respect to our securities. The risk factors described in this Form 10-Q and in our 2025 Form 10-K are not all of the risks we may face. Other risks not presently known to us or that we currently believe are immaterial may materially affect our business. If any of the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our common stock during the quarter ended July 3, 2026:</w:t>
      </w:r>
    </w:p>
    <w:tbl>
      <w:tblPr>
        <w:tblW w:w="10205" w:type="dxa"/>
        <w:jc w:val="left"/>
        <w:tblInd w:w="0" w:type="dxa"/>
        <w:tblLayout w:type="fixed"/>
        <w:tblCellMar>
          <w:top w:w="28" w:type="dxa"/>
          <w:left w:w="28" w:type="dxa"/>
          <w:bottom w:w="28" w:type="dxa"/>
          <w:right w:w="28" w:type="dxa"/>
        </w:tblCellMar>
      </w:tblPr>
      <w:tblGrid>
        <w:gridCol w:w="383"/>
        <w:gridCol w:w="337"/>
        <w:gridCol w:w="338"/>
        <w:gridCol w:w="109"/>
        <w:gridCol w:w="109"/>
        <w:gridCol w:w="109"/>
        <w:gridCol w:w="730"/>
        <w:gridCol w:w="409"/>
        <w:gridCol w:w="411"/>
        <w:gridCol w:w="109"/>
        <w:gridCol w:w="109"/>
        <w:gridCol w:w="109"/>
        <w:gridCol w:w="273"/>
        <w:gridCol w:w="936"/>
        <w:gridCol w:w="141"/>
        <w:gridCol w:w="109"/>
        <w:gridCol w:w="109"/>
        <w:gridCol w:w="109"/>
        <w:gridCol w:w="970"/>
        <w:gridCol w:w="681"/>
        <w:gridCol w:w="683"/>
        <w:gridCol w:w="109"/>
        <w:gridCol w:w="109"/>
        <w:gridCol w:w="109"/>
        <w:gridCol w:w="484"/>
        <w:gridCol w:w="1761"/>
        <w:gridCol w:w="360"/>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Period</w:t>
            </w:r>
            <w:r>
              <w:rPr>
                <w:color w:val="000000"/>
              </w:rPr>
              <w:t xml:space="preserv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Price Paid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(in millions) ($)</w:t>
            </w:r>
          </w:p>
        </w:tc>
      </w:tr>
      <w:tr>
        <w:trPr/>
        <w:tc>
          <w:tcPr>
            <w:tcW w:w="10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April 4, 2026 - 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5,654.4 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May 2, 2026 - May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3,138,218 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3,138,218 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May 30, 2026 - July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5,322.4 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3,138,218 </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3,138,218 </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These time periods represent our fiscal month start and end dates for the second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withheld to satisfy statutory tax withholding requirements related to the vesting of share-based awards are not issued or considered repurchases of our common stock under our New Share Repurchase Program and, therefore, are excluded from the table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New Share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2025, the Board of Directors approved a new Share Repurchase Program (the "New Share Repurchase Program") under which the Company may repurchase up to an aggregate of $6.0 billion of the Company's common stock (exclusive of fees, commissions and other expenses). Under the New Share Repurchase Program, which does not require the Company to purchase any minimum amount of common stock or at all, the Company may repurchase shares from January 1, 2026 through December 31, 2028. The New Share Repurchase Program may be modified, suspended or terminated by the Board of Directors at any time without prior notice.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repurchased 3.1 million shares of the Company's common stock under the New Share Repurchase Program during the quarter ended July 3, 2026. As of July 3, 2026, the authorized amount remaining under the New Share Repurchase Program was approximately $5.3 billion.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July 3, 2026, none of our directors or officers (as defined in Rule 16a-1(f) of the Exchange Act) adopted or terminated a "Rule 10b5-1 trading arrangement" or "non-Rule 10b5-1 trading arrangement" (as those terms are defined in Item 408 of Regulation S-K), except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Sudhir Gopalswamy, our Group President, ISG and AMG, adopted a Rule 10b5-1 trading arrangement on May 14, 2026. Under this arrangement, a total of 15,578 shares of our common stock may be sold, subject to certain conditions, before the plan expires on May 14,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6.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127"/>
        <w:gridCol w:w="111"/>
        <w:gridCol w:w="111"/>
        <w:gridCol w:w="111"/>
        <w:gridCol w:w="111"/>
        <w:gridCol w:w="111"/>
        <w:gridCol w:w="215"/>
        <w:gridCol w:w="194"/>
        <w:gridCol w:w="199"/>
        <w:gridCol w:w="109"/>
        <w:gridCol w:w="109"/>
        <w:gridCol w:w="109"/>
        <w:gridCol w:w="109"/>
        <w:gridCol w:w="109"/>
        <w:gridCol w:w="109"/>
        <w:gridCol w:w="2496"/>
        <w:gridCol w:w="2422"/>
        <w:gridCol w:w="3343"/>
      </w:tblGrid>
      <w:tr>
        <w:trPr/>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Exhibit Description</w:t>
            </w:r>
            <w:r>
              <w:rPr>
                <w:rFonts w:ascii="Times New Roman;serif" w:hAnsi="Times New Roman;serif"/>
                <w:b/>
                <w:color w:val="000000"/>
                <w:sz w:val="13"/>
              </w:rPr>
              <w:t>*</w:t>
            </w:r>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Reorganization, dated as of June 25, 2026, by and among ON Semiconductor Corporation, Sonic Acquisition Corp. and Synaptics Incorporated (incorporated by reference to Exhibit 2.1 to the Company's Current Report on Form 8-K dated June 25, 2026) †</w:t>
              </w:r>
            </w:hyperlink>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Indenture, dated as of May 11, 2026, among ON Semiconductor Corporation, the guarantors party thereto and Computershare Trust Company, National Association, as trustee (incorporated by reference to Exhibit 4.1 to the Company's Current Report on Form 8-K dated May 12, 2026)</w:t>
              </w:r>
            </w:hyperlink>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Form of 0% Convertible Senior Note due 2031 (included in Exhibit 4.1</w:t>
              </w:r>
            </w:hyperlink>
            <w:hyperlink r:id="rId6">
              <w:r>
                <w:rPr>
                  <w:rStyle w:val="InternetLink"/>
                  <w:rFonts w:ascii="Times New Roman;serif" w:hAnsi="Times New Roman;serif"/>
                  <w:b w:val="false"/>
                  <w:color w:val="000080"/>
                  <w:sz w:val="20"/>
                  <w:u w:val="single"/>
                </w:rPr>
                <w:t>)</w:t>
              </w:r>
            </w:hyperlink>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Confirmation for Convertible Note Hedges (incorporated by reference to Exhibit 10.1 to the Company's Current Report on Form 8-K dated May 12, 2026)</w:t>
              </w:r>
            </w:hyperlink>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Confirmation for Warrants (incorporated by reference to Exhibit 10.2 to the Company's Current Report on Form 8-K dated May 12, 2026)</w:t>
              </w:r>
            </w:hyperlink>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1certificationc.htm">
              <w:r>
                <w:rPr>
                  <w:rStyle w:val="InternetLink"/>
                  <w:rFonts w:ascii="Times New Roman;serif" w:hAnsi="Times New Roman;serif"/>
                  <w:b w:val="false"/>
                  <w:color w:val="0000FF"/>
                  <w:sz w:val="20"/>
                  <w:u w:val="single"/>
                </w:rPr>
                <w:t xml:space="preserve">Certification by CEO pursuant to Rule 13(a)-14(a) or 15d-14(a) of the Securities Exchange Act of 1934, as adopted pursuant to Section 302 of Sarbanes-Oxley Act of 2002 </w:t>
              </w:r>
            </w:hyperlink>
            <w:hyperlink w:anchor="q22026-ex311certificationc.htm">
              <w:r>
                <w:rPr>
                  <w:rStyle w:val="InternetLink"/>
                  <w:rFonts w:ascii="Times New Roman;serif" w:hAnsi="Times New Roman;serif"/>
                  <w:b w:val="false"/>
                  <w:color w:val="0000FF"/>
                  <w:sz w:val="13"/>
                  <w:u w:val="single"/>
                </w:rPr>
                <w:t>(1)</w:t>
              </w:r>
            </w:hyperlink>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2certificationc.htm">
              <w:r>
                <w:rPr>
                  <w:rStyle w:val="InternetLink"/>
                  <w:rFonts w:ascii="Times New Roman;serif" w:hAnsi="Times New Roman;serif"/>
                  <w:b w:val="false"/>
                  <w:color w:val="0000FF"/>
                  <w:sz w:val="20"/>
                  <w:u w:val="single"/>
                </w:rPr>
                <w:t xml:space="preserve">Certification by CFO pursuant to Rule 13(a)-14(a) or 15d-14(a) of the Securities Exchange Act of 1934, as adopted pursuant to Section 302 of Sarbanes-Oxley Act of 2002 </w:t>
              </w:r>
            </w:hyperlink>
            <w:hyperlink w:anchor="q22026-ex312certificationc.htm">
              <w:r>
                <w:rPr>
                  <w:rStyle w:val="InternetLink"/>
                  <w:rFonts w:ascii="Times New Roman;serif" w:hAnsi="Times New Roman;serif"/>
                  <w:b w:val="false"/>
                  <w:color w:val="0000FF"/>
                  <w:sz w:val="13"/>
                  <w:u w:val="single"/>
                </w:rPr>
                <w:t>(1)</w:t>
              </w:r>
            </w:hyperlink>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40" w:after="283"/>
              <w:jc w:val="left"/>
              <w:rPr/>
            </w:pPr>
            <w:hyperlink w:anchor="q22026-ex32certificationce.htm">
              <w:r>
                <w:rPr>
                  <w:rStyle w:val="InternetLink"/>
                  <w:rFonts w:ascii="Times New Roman;serif" w:hAnsi="Times New Roman;serif"/>
                  <w:b w:val="false"/>
                  <w:color w:val="0000FF"/>
                  <w:sz w:val="20"/>
                  <w:u w:val="single"/>
                </w:rPr>
                <w:t xml:space="preserve">Certification by CEO and CFO pursuant to 18 U.S.C. Section 1350, as adopted pursuant to Section 906 of the Sarbanes-Oxley Act of 2002 </w:t>
              </w:r>
            </w:hyperlink>
            <w:hyperlink w:anchor="q22026-ex32certificationce.htm">
              <w:r>
                <w:rPr>
                  <w:rStyle w:val="InternetLink"/>
                  <w:rFonts w:ascii="Times New Roman;serif" w:hAnsi="Times New Roman;serif"/>
                  <w:b w:val="false"/>
                  <w:color w:val="0000FF"/>
                  <w:sz w:val="13"/>
                  <w:u w:val="single"/>
                </w:rPr>
                <w:t>(2)</w:t>
              </w:r>
            </w:hyperlink>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0"/>
              </w:rPr>
              <w:t xml:space="preserve">XBRL Instance Document </w:t>
            </w:r>
            <w:r>
              <w:rPr>
                <w:rFonts w:ascii="Times New Roman;serif" w:hAnsi="Times New Roman;serif"/>
                <w:b w:val="false"/>
                <w:color w:val="000000"/>
                <w:sz w:val="13"/>
              </w:rPr>
              <w:t>(1)</w:t>
            </w:r>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XBRL Taxonomy Extension Schema Document </w:t>
            </w:r>
            <w:r>
              <w:rPr>
                <w:rFonts w:ascii="Times New Roman;serif" w:hAnsi="Times New Roman;serif"/>
                <w:b w:val="false"/>
                <w:color w:val="000000"/>
                <w:sz w:val="13"/>
              </w:rPr>
              <w:t>(1)</w:t>
            </w:r>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XBRL Taxonomy Extension Calculation Linkbase Document </w:t>
            </w:r>
            <w:r>
              <w:rPr>
                <w:rFonts w:ascii="Times New Roman;serif" w:hAnsi="Times New Roman;serif"/>
                <w:b w:val="false"/>
                <w:color w:val="000000"/>
                <w:sz w:val="13"/>
              </w:rPr>
              <w:t>(1)</w:t>
            </w:r>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0"/>
              </w:rPr>
              <w:t xml:space="preserve">XBRL Taxonomy Extension Definition Linkbase Document </w:t>
            </w:r>
            <w:r>
              <w:rPr>
                <w:rFonts w:ascii="Times New Roman;serif" w:hAnsi="Times New Roman;serif"/>
                <w:b w:val="false"/>
                <w:color w:val="000000"/>
                <w:sz w:val="13"/>
              </w:rPr>
              <w:t>(1)</w:t>
            </w:r>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0"/>
              </w:rPr>
              <w:t xml:space="preserve">XBRL Taxonomy Extension Label Linkbase Document </w:t>
            </w:r>
            <w:r>
              <w:rPr>
                <w:rFonts w:ascii="Times New Roman;serif" w:hAnsi="Times New Roman;serif"/>
                <w:b w:val="false"/>
                <w:color w:val="000000"/>
                <w:sz w:val="13"/>
              </w:rPr>
              <w:t>(1)</w:t>
            </w:r>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XBRL Taxonomy Extension Presentation Linkbase Document </w:t>
            </w:r>
            <w:r>
              <w:rPr>
                <w:rFonts w:ascii="Times New Roman;serif" w:hAnsi="Times New Roman;serif"/>
                <w:b w:val="false"/>
                <w:color w:val="000000"/>
                <w:sz w:val="13"/>
              </w:rPr>
              <w:t>(1)</w:t>
            </w:r>
          </w:p>
        </w:tc>
      </w:tr>
      <w:tr>
        <w:trPr/>
        <w:tc>
          <w:tcPr>
            <w:tcW w:w="16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6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014"/>
        <w:gridCol w:w="2829"/>
        <w:gridCol w:w="4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4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3"/>
              </w:rPr>
            </w:pPr>
            <w:r>
              <w:rPr>
                <w:rFonts w:ascii="Times New Roman;serif" w:hAnsi="Times New Roman;serif"/>
                <w:b w:val="false"/>
                <w:color w:val="000000"/>
                <w:sz w:val="13"/>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Reports filed under the Exchange Act (Form 10-K, Form 10-Q and Form 8-K) are filed under File No. 000-30419 and File No. 001-39317.</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3"/>
              </w:rPr>
            </w:pPr>
            <w:r>
              <w:rPr>
                <w:rFonts w:ascii="Times New Roman;serif" w:hAnsi="Times New Roman;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have been omitted pursuant to Item 601(a)(5) of Regulation S-K. The registrant hereby undertakes to furnish supplementally a copy of any omitted schedule upon request by the SEC.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180" w:after="283"/>
        <w:ind w:left="0" w:right="0" w:firstLine="540"/>
        <w:jc w:val="left"/>
        <w:rPr/>
      </w:pPr>
      <w:r>
        <w:rPr/>
      </w:r>
    </w:p>
    <w:p>
      <w:pPr>
        <w:pStyle w:val="TextBody"/>
        <w:bidi w:val="0"/>
        <w:spacing w:lineRule="auto" w:line="288" w:before="0" w:after="0"/>
        <w:jc w:val="left"/>
        <w:rPr/>
      </w:pPr>
      <w:hyperlink w:anchor="i1d3130c5dba44501a5a60be02340cca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54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97"/>
        <w:gridCol w:w="174"/>
        <w:gridCol w:w="175"/>
        <w:gridCol w:w="418"/>
        <w:gridCol w:w="418"/>
        <w:gridCol w:w="420"/>
        <w:gridCol w:w="513"/>
        <w:gridCol w:w="513"/>
        <w:gridCol w:w="513"/>
        <w:gridCol w:w="2021"/>
        <w:gridCol w:w="2001"/>
        <w:gridCol w:w="2842"/>
      </w:tblGrid>
      <w:tr>
        <w:trPr/>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r>
      <w:tr>
        <w:trPr/>
        <w:tc>
          <w:tcPr>
            <w:tcW w:w="546" w:type="dxa"/>
            <w:gridSpan w:val="3"/>
            <w:tcBorders/>
            <w:vAlign w:val="center"/>
          </w:tcPr>
          <w:p>
            <w:pPr>
              <w:pStyle w:val="TableContents"/>
              <w:bidi w:val="0"/>
              <w:spacing w:before="0" w:after="283"/>
              <w:jc w:val="left"/>
              <w:rPr>
                <w:sz w:val="4"/>
                <w:szCs w:val="4"/>
              </w:rPr>
            </w:pPr>
            <w:r>
              <w:rPr>
                <w:sz w:val="4"/>
                <w:szCs w:val="4"/>
              </w:rPr>
            </w:r>
          </w:p>
        </w:tc>
        <w:tc>
          <w:tcPr>
            <w:tcW w:w="9659" w:type="dxa"/>
            <w:gridSpan w:val="9"/>
            <w:tcBorders/>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SEMICONDUCTOR CORPORATION</w:t>
              <w:br/>
              <w:t>                      (Registrant)</w:t>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THAD TRENT</w:t>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Thad Trent</w:t>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(Principal Financial and Accounting Officer and officer duly authorized to sign this report)</w:t>
            </w:r>
          </w:p>
        </w:tc>
      </w:tr>
      <w:tr>
        <w:trPr/>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6864" w:type="dxa"/>
            <w:gridSpan w:val="3"/>
            <w:tcBorders/>
            <w:vAlign w:val="center"/>
          </w:tcPr>
          <w:p>
            <w:pPr>
              <w:pStyle w:val="TableContents"/>
              <w:bidi w:val="0"/>
              <w:spacing w:before="0" w:after="283"/>
              <w:jc w:val="left"/>
              <w:rPr>
                <w:sz w:val="4"/>
                <w:szCs w:val="4"/>
              </w:rPr>
            </w:pPr>
            <w:r>
              <w:rPr>
                <w:sz w:val="4"/>
                <w:szCs w:val="4"/>
              </w:rPr>
            </w:r>
          </w:p>
        </w:tc>
      </w:tr>
      <w:tr>
        <w:trPr/>
        <w:tc>
          <w:tcPr>
            <w:tcW w:w="546"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6864" w:type="dxa"/>
            <w:gridSpan w:val="3"/>
            <w:tcBorders/>
            <w:vAlign w:val="center"/>
          </w:tcPr>
          <w:p>
            <w:pPr>
              <w:pStyle w:val="TableContents"/>
              <w:bidi w:val="0"/>
              <w:spacing w:before="0" w:after="283"/>
              <w:jc w:val="left"/>
              <w:rPr>
                <w:sz w:val="4"/>
                <w:szCs w:val="4"/>
              </w:rPr>
            </w:pPr>
            <w:r>
              <w:rPr>
                <w:sz w:val="4"/>
                <w:szCs w:val="4"/>
              </w:rPr>
            </w:r>
          </w:p>
        </w:tc>
      </w:tr>
      <w:tr>
        <w:trPr/>
        <w:tc>
          <w:tcPr>
            <w:tcW w:w="546"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68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center"/>
        <w:rPr/>
      </w:pPr>
      <w:r>
        <w:rPr/>
      </w:r>
    </w:p>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CERTIFICATIONS</w:t>
      </w:r>
    </w:p>
    <w:p>
      <w:pPr>
        <w:pStyle w:val="TextBody"/>
        <w:bidi w:val="0"/>
        <w:spacing w:before="0" w:after="0"/>
        <w:ind w:left="0" w:right="0" w:firstLine="288"/>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Hassane El-Khoury, certify that: </w:t>
      </w:r>
    </w:p>
    <w:p>
      <w:pPr>
        <w:pStyle w:val="TextBody"/>
        <w:bidi w:val="0"/>
        <w:spacing w:before="0" w:after="0"/>
        <w:ind w:left="0" w:right="0" w:firstLine="288"/>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ON Semiconductor Corporation;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288"/>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288"/>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firstLine="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288"/>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firstLine="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258" w:type="dxa"/>
        <w:jc w:val="left"/>
        <w:tblInd w:w="0" w:type="dxa"/>
        <w:tblLayout w:type="fixed"/>
        <w:tblCellMar>
          <w:top w:w="28" w:type="dxa"/>
          <w:left w:w="28" w:type="dxa"/>
          <w:bottom w:w="28" w:type="dxa"/>
          <w:right w:w="28" w:type="dxa"/>
        </w:tblCellMar>
      </w:tblPr>
      <w:tblGrid>
        <w:gridCol w:w="667"/>
        <w:gridCol w:w="587"/>
        <w:gridCol w:w="590"/>
        <w:gridCol w:w="706"/>
        <w:gridCol w:w="706"/>
        <w:gridCol w:w="100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HASSANE EL-KHOURY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Hassane El-Khoury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ind w:left="0" w:right="0" w:firstLine="288"/>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CERTIFICATIONS</w:t>
      </w:r>
    </w:p>
    <w:p>
      <w:pPr>
        <w:pStyle w:val="TextBody"/>
        <w:bidi w:val="0"/>
        <w:spacing w:before="0" w:after="0"/>
        <w:ind w:left="0" w:right="0" w:firstLine="288"/>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Thad Trent, certify that: </w:t>
      </w:r>
    </w:p>
    <w:p>
      <w:pPr>
        <w:pStyle w:val="TextBody"/>
        <w:bidi w:val="0"/>
        <w:spacing w:before="0" w:after="0"/>
        <w:ind w:left="0" w:right="0" w:firstLine="288"/>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ON Semiconductor Corporation;</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288"/>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288"/>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firstLine="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288"/>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firstLine="288"/>
        <w:jc w:val="both"/>
        <w:rPr/>
      </w:pPr>
      <w:r>
        <w:rPr/>
      </w:r>
    </w:p>
    <w:p>
      <w:pPr>
        <w:pStyle w:val="TextBody"/>
        <w:bidi w:val="0"/>
        <w:spacing w:lineRule="auto" w:line="288" w:before="0" w:after="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3853" w:type="dxa"/>
        <w:jc w:val="left"/>
        <w:tblInd w:w="0" w:type="dxa"/>
        <w:tblLayout w:type="fixed"/>
        <w:tblCellMar>
          <w:top w:w="28" w:type="dxa"/>
          <w:left w:w="28" w:type="dxa"/>
          <w:bottom w:w="28" w:type="dxa"/>
          <w:right w:w="28" w:type="dxa"/>
        </w:tblCellMar>
      </w:tblPr>
      <w:tblGrid>
        <w:gridCol w:w="667"/>
        <w:gridCol w:w="587"/>
        <w:gridCol w:w="590"/>
        <w:gridCol w:w="586"/>
        <w:gridCol w:w="586"/>
        <w:gridCol w:w="83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THAD TRENT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Thad Trent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288"/>
        <w:jc w:val="both"/>
        <w:rPr/>
      </w:pPr>
      <w:r>
        <w:rPr/>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18 U.S.C. Section 1350, as adopted pursuant to Section 906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Sarbanes-Oxley Act of 2002</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Section 1350 of Chapter 63 of Title 18 of the United States Code, as adopted pursuant to Section 906 of the Sarbanes-Oxley Act of 2002, each of the undersigned officers of ON Semiconductor Corporation, a Delaware corporation (the “Company”), does hereby certify, to such officer’s knowledge, that: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Quarterly Report on Form 10-Q for the fiscal quarter ended July 3, 2026 (the “Form 10-Q”) of the Company fully complies with the requirements of Section 13(a) or 15(d) of the Securities Exchange Act of 1934 (15 U.S.C. 78m or 78o(d)) and information contained in the Form 10-Q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5938" w:type="dxa"/>
        <w:jc w:val="left"/>
        <w:tblInd w:w="0" w:type="dxa"/>
        <w:tblLayout w:type="fixed"/>
        <w:tblCellMar>
          <w:top w:w="28" w:type="dxa"/>
          <w:left w:w="28" w:type="dxa"/>
          <w:bottom w:w="28" w:type="dxa"/>
          <w:right w:w="28" w:type="dxa"/>
        </w:tblCellMar>
      </w:tblPr>
      <w:tblGrid>
        <w:gridCol w:w="813"/>
        <w:gridCol w:w="715"/>
        <w:gridCol w:w="721"/>
        <w:gridCol w:w="1079"/>
        <w:gridCol w:w="1079"/>
        <w:gridCol w:w="1531"/>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Dated: August 3, 2026</w:t>
            </w:r>
          </w:p>
        </w:tc>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176"/>
              <w:jc w:val="left"/>
              <w:rPr>
                <w:rFonts w:ascii="Times New Roman;serif" w:hAnsi="Times New Roman;serif"/>
                <w:b w:val="false"/>
                <w:color w:val="000000"/>
                <w:sz w:val="22"/>
              </w:rPr>
            </w:pPr>
            <w:r>
              <w:rPr>
                <w:rFonts w:ascii="Times New Roman;serif" w:hAnsi="Times New Roman;serif"/>
                <w:b w:val="false"/>
                <w:color w:val="000000"/>
                <w:sz w:val="22"/>
              </w:rPr>
              <w:t>/s/ HASSANE EL-KHOURY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Hassane El-Khoury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bl>
    <w:p>
      <w:pPr>
        <w:pStyle w:val="TextBody"/>
        <w:bidi w:val="0"/>
        <w:spacing w:before="0" w:after="0"/>
        <w:ind w:left="0" w:right="0" w:firstLine="720"/>
        <w:jc w:val="left"/>
        <w:rPr/>
      </w:pPr>
      <w:r>
        <w:rPr/>
      </w:r>
    </w:p>
    <w:tbl>
      <w:tblPr>
        <w:tblW w:w="5203" w:type="dxa"/>
        <w:jc w:val="left"/>
        <w:tblInd w:w="0" w:type="dxa"/>
        <w:tblLayout w:type="fixed"/>
        <w:tblCellMar>
          <w:top w:w="28" w:type="dxa"/>
          <w:left w:w="28" w:type="dxa"/>
          <w:bottom w:w="28" w:type="dxa"/>
          <w:right w:w="28" w:type="dxa"/>
        </w:tblCellMar>
      </w:tblPr>
      <w:tblGrid>
        <w:gridCol w:w="813"/>
        <w:gridCol w:w="715"/>
        <w:gridCol w:w="721"/>
        <w:gridCol w:w="865"/>
        <w:gridCol w:w="865"/>
        <w:gridCol w:w="1224"/>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Dated: August 3, 2026</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THAD TRENT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Thad Trent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Executive Vice President and </w:t>
            </w:r>
          </w:p>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97864/000114036126026395/ef20076747_ex2-1.htm" TargetMode="External"/><Relationship Id="rId4" Type="http://schemas.openxmlformats.org/officeDocument/2006/relationships/hyperlink" Target="https://www.sec.gov/Archives/edgar/data/1097864/000114036126020642/ef20072923_ex4-1.htm" TargetMode="External"/><Relationship Id="rId5" Type="http://schemas.openxmlformats.org/officeDocument/2006/relationships/hyperlink" Target="https://www.sec.gov/Archives/edgar/data/1097864/000114036126020642/ef20072923_ex4-1.htm" TargetMode="External"/><Relationship Id="rId6" Type="http://schemas.openxmlformats.org/officeDocument/2006/relationships/hyperlink" Target="https://www.sec.gov/Archives/edgar/data/1097864/000114036126020642/ef20072923_ex4-1.htm" TargetMode="External"/><Relationship Id="rId7" Type="http://schemas.openxmlformats.org/officeDocument/2006/relationships/hyperlink" Target="https://www.sec.gov/Archives/edgar/data/1097864/000114036126020642/ef20072923_ex10-1.htm" TargetMode="External"/><Relationship Id="rId8" Type="http://schemas.openxmlformats.org/officeDocument/2006/relationships/hyperlink" Target="https://www.sec.gov/Archives/edgar/data/1097864/000114036126020642/ef20072923_ex10-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23639</Words>
  <Characters>130564</Characters>
  <CharactersWithSpaces>152587</CharactersWithSpaces>
  <Paragraphs>3387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