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60" w:lineRule="exact"/>
        <w:rPr>
          <w:sz w:val="24"/>
          <w:szCs w:val="24"/>
          <w:color w:val="auto"/>
        </w:rPr>
      </w:pPr>
    </w:p>
    <w:p>
      <w:pPr>
        <w:ind w:left="640" w:right="140" w:hanging="614"/>
        <w:spacing w:after="0" w:line="238" w:lineRule="auto"/>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2, 2026</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8" w:lineRule="exact"/>
        <w:rPr>
          <w:sz w:val="24"/>
          <w:szCs w:val="24"/>
          <w:color w:val="auto"/>
        </w:rPr>
      </w:pPr>
    </w:p>
    <w:p>
      <w:pPr>
        <w:ind w:left="640" w:right="100" w:hanging="601"/>
        <w:spacing w:after="0" w:line="238" w:lineRule="auto"/>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p>
      <w:pPr>
        <w:ind w:left="35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9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(Commission File Number) 001-39317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17145</wp:posOffset>
            </wp:positionV>
            <wp:extent cx="180848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848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ON SEMICONDUCTOR CORPORATION</w:t>
      </w:r>
    </w:p>
    <w:p>
      <w:pPr>
        <w:spacing w:after="0" w:line="7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60"/>
          </w:cols>
          <w:pgMar w:left="320" w:top="526" w:right="319" w:bottom="1440" w:gutter="0" w:footer="0" w:header="0"/>
        </w:sectPr>
      </w:pPr>
    </w:p>
    <w:p>
      <w:pPr>
        <w:spacing w:after="0" w:line="7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36-3840979</w:t>
      </w:r>
    </w:p>
    <w:p>
      <w:pPr>
        <w:spacing w:after="0" w:line="45" w:lineRule="exact"/>
        <w:rPr>
          <w:sz w:val="24"/>
          <w:szCs w:val="24"/>
          <w:color w:val="auto"/>
        </w:rPr>
      </w:pPr>
    </w:p>
    <w:p>
      <w:pPr>
        <w:sectPr>
          <w:pgSz w:w="11900" w:h="16838" w:orient="portrait"/>
          <w:cols w:equalWidth="0" w:num="2">
            <w:col w:w="7380" w:space="720"/>
            <w:col w:w="3160"/>
          </w:cols>
          <w:pgMar w:left="320" w:top="526" w:right="31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2">
            <w:col w:w="7240" w:space="720"/>
            <w:col w:w="3300"/>
          </w:cols>
          <w:pgMar w:left="320" w:top="526"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5701 N. Pima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Scottsdale, AZ 85250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 244-6600</w:t>
      </w:r>
    </w:p>
    <w:p>
      <w:pPr>
        <w:sectPr>
          <w:pgSz w:w="11900" w:h="16838" w:orient="portrait"/>
          <w:cols w:equalWidth="0" w:num="1">
            <w:col w:w="11260"/>
          </w:cols>
          <w:pgMar w:left="320" w:top="526" w:right="319" w:bottom="1440" w:gutter="0" w:footer="0" w:header="0"/>
          <w:type w:val="continuous"/>
        </w:sectPr>
      </w:pP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principal executive offices)</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4"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186"/>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ON</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ind w:right="480"/>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2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2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7" w:lineRule="exact"/>
        <w:rPr>
          <w:sz w:val="24"/>
          <w:szCs w:val="24"/>
          <w:color w:val="auto"/>
        </w:rPr>
      </w:pPr>
    </w:p>
    <w:p>
      <w:pPr>
        <w:ind w:right="58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6" w:lineRule="exact"/>
        <w:rPr>
          <w:sz w:val="24"/>
          <w:szCs w:val="24"/>
          <w:color w:val="auto"/>
        </w:rPr>
      </w:pPr>
    </w:p>
    <w:p>
      <w:pPr>
        <w:spacing w:after="0" w:line="196" w:lineRule="exact"/>
        <w:tabs>
          <w:tab w:leader="none" w:pos="6720" w:val="left"/>
          <w:tab w:leader="none" w:pos="73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issuer's common stock outstanding at October 28, 2026 was 389,284,489.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26"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47"/>
        </w:trPr>
        <w:tc>
          <w:tcPr>
            <w:tcW w:w="1280" w:type="dxa"/>
            <w:vAlign w:val="bottom"/>
            <w:tcBorders>
              <w:top w:val="single" w:sz="8" w:color="0000FF"/>
            </w:tcBorders>
          </w:tcPr>
          <w:p>
            <w:pPr>
              <w:spacing w:after="0"/>
              <w:rPr>
                <w:sz w:val="24"/>
                <w:szCs w:val="24"/>
                <w:color w:val="auto"/>
              </w:rPr>
            </w:pPr>
          </w:p>
        </w:tc>
        <w:tc>
          <w:tcPr>
            <w:tcW w:w="932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 FORM 10-Q</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4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1"/>
                <w:szCs w:val="21"/>
                <w:color w:val="auto"/>
              </w:rPr>
            </w:pPr>
          </w:p>
        </w:tc>
      </w:tr>
      <w:tr>
        <w:trPr>
          <w:trHeight w:val="223"/>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9"/>
                <w:szCs w:val="19"/>
                <w:color w:val="auto"/>
              </w:rPr>
            </w:pPr>
          </w:p>
        </w:tc>
      </w:tr>
      <w:tr>
        <w:trPr>
          <w:trHeight w:val="223"/>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w:t>
            </w:r>
          </w:p>
        </w:tc>
        <w:tc>
          <w:tcPr>
            <w:tcW w:w="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9"/>
                <w:szCs w:val="19"/>
                <w:color w:val="auto"/>
              </w:rPr>
            </w:pPr>
          </w:p>
        </w:tc>
      </w:tr>
      <w:tr>
        <w:trPr>
          <w:trHeight w:val="223"/>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19"/>
                <w:szCs w:val="19"/>
                <w:color w:val="auto"/>
              </w:rPr>
            </w:pPr>
          </w:p>
        </w:tc>
      </w:tr>
      <w:tr>
        <w:trPr>
          <w:trHeight w:val="223"/>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9"/>
                <w:szCs w:val="19"/>
                <w:color w:val="auto"/>
              </w:rPr>
            </w:pPr>
          </w:p>
        </w:tc>
      </w:tr>
      <w:tr>
        <w:trPr>
          <w:trHeight w:val="223"/>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9"/>
                <w:szCs w:val="19"/>
                <w:color w:val="auto"/>
              </w:rPr>
            </w:pP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r>
      <w:tr>
        <w:trPr>
          <w:trHeight w:val="520"/>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5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Item 1. Legal Proceedings</w:t>
            </w:r>
          </w:p>
        </w:tc>
        <w:tc>
          <w:tcPr>
            <w:tcW w:w="2080" w:type="dxa"/>
            <w:vAlign w:val="bottom"/>
            <w:tcBorders>
              <w:top w:val="single" w:sz="8" w:color="auto"/>
            </w:tcBorders>
          </w:tcPr>
          <w:p>
            <w:pPr>
              <w:spacing w:after="0"/>
              <w:rPr>
                <w:sz w:val="19"/>
                <w:szCs w:val="19"/>
                <w:color w:val="auto"/>
              </w:rPr>
            </w:pPr>
          </w:p>
        </w:tc>
        <w:tc>
          <w:tcPr>
            <w:tcW w:w="3940" w:type="dxa"/>
            <w:vAlign w:val="bottom"/>
            <w:gridSpan w:val="2"/>
          </w:tcPr>
          <w:p>
            <w:pPr>
              <w:spacing w:after="0"/>
              <w:rPr>
                <w:sz w:val="19"/>
                <w:szCs w:val="19"/>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1A. Risk Factors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5. Other Information</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6. Exhibits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r>
      <w:tr>
        <w:trPr>
          <w:trHeight w:val="223"/>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r>
    </w:tbl>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(See the glossary of selected terms immediately following this table of contents for definitions of certain abbreviated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513" w:right="7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320" w:type="dxa"/>
            <w:vAlign w:val="bottom"/>
          </w:tcPr>
          <w:p>
            <w:pPr>
              <w:spacing w:after="0"/>
              <w:rPr>
                <w:sz w:val="17"/>
                <w:szCs w:val="17"/>
                <w:color w:val="auto"/>
              </w:rPr>
            </w:pPr>
          </w:p>
        </w:tc>
      </w:tr>
      <w:tr>
        <w:trPr>
          <w:trHeight w:val="525"/>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FORM 10-Q</w:t>
            </w: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20" w:type="dxa"/>
            <w:vAlign w:val="bottom"/>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w w:val="99"/>
              </w:rPr>
              <w:t>GLOSSARY OF SELECTED ABBREVIATED TERMS*</w:t>
            </w:r>
          </w:p>
        </w:tc>
      </w:tr>
      <w:tr>
        <w:trPr>
          <w:trHeight w:val="513"/>
        </w:trPr>
        <w:tc>
          <w:tcPr>
            <w:tcW w:w="40" w:type="dxa"/>
            <w:vAlign w:val="bottom"/>
          </w:tcPr>
          <w:p>
            <w:pPr>
              <w:spacing w:after="0"/>
              <w:rPr>
                <w:sz w:val="24"/>
                <w:szCs w:val="24"/>
                <w:color w:val="auto"/>
              </w:rPr>
            </w:pPr>
          </w:p>
        </w:tc>
        <w:tc>
          <w:tcPr>
            <w:tcW w:w="27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Abbreviated Term</w:t>
            </w:r>
          </w:p>
        </w:tc>
        <w:tc>
          <w:tcPr>
            <w:tcW w:w="120" w:type="dxa"/>
            <w:vAlign w:val="bottom"/>
            <w:tcBorders>
              <w:bottom w:val="single" w:sz="8" w:color="CCEEFF"/>
            </w:tcBorders>
          </w:tcPr>
          <w:p>
            <w:pPr>
              <w:spacing w:after="0"/>
              <w:rPr>
                <w:sz w:val="24"/>
                <w:szCs w:val="24"/>
                <w:color w:val="auto"/>
              </w:rPr>
            </w:pPr>
          </w:p>
        </w:tc>
        <w:tc>
          <w:tcPr>
            <w:tcW w:w="832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8"/>
                <w:szCs w:val="18"/>
                <w:b w:val="1"/>
                <w:bCs w:val="1"/>
                <w:color w:val="auto"/>
              </w:rPr>
              <w:t>Defined Term</w:t>
            </w:r>
          </w:p>
        </w:tc>
      </w:tr>
      <w:tr>
        <w:trPr>
          <w:trHeight w:val="237"/>
        </w:trPr>
        <w:tc>
          <w:tcPr>
            <w:tcW w:w="40" w:type="dxa"/>
            <w:vAlign w:val="bottom"/>
          </w:tcPr>
          <w:p>
            <w:pPr>
              <w:spacing w:after="0"/>
              <w:rPr>
                <w:sz w:val="20"/>
                <w:szCs w:val="20"/>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 Notes</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Convertible Senior Notes due 2027</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2031 0% Notes</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0% Convertible Senior Notes due 2031</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0.50% Notes</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0.50% Convertible Senior Notes due 2029</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3.875% Notes</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3.875% Senior Notes due 2028</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ADAS</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driver-assistance systems</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SIP</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Semiconductor Corporation Amended and Restated Stock Incentive Plan, as amended</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ASU</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or SEC</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189"/>
        </w:trPr>
        <w:tc>
          <w:tcPr>
            <w:tcW w:w="40" w:type="dxa"/>
            <w:vAlign w:val="bottom"/>
          </w:tcPr>
          <w:p>
            <w:pPr>
              <w:spacing w:after="0"/>
              <w:rPr>
                <w:sz w:val="16"/>
                <w:szCs w:val="16"/>
                <w:color w:val="auto"/>
              </w:rPr>
            </w:pPr>
          </w:p>
        </w:tc>
        <w:tc>
          <w:tcPr>
            <w:tcW w:w="28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Credit Agreement</w:t>
            </w:r>
          </w:p>
        </w:tc>
        <w:tc>
          <w:tcPr>
            <w:tcW w:w="8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Credit agreement, dated as of June 22, 2023, by and among the Company, as borrower, the several lenders party</w:t>
            </w:r>
          </w:p>
        </w:tc>
      </w:tr>
      <w:tr>
        <w:trPr>
          <w:trHeight w:val="184"/>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3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thereto, JPMorgan Chase Bank, N.A., as administrative agent, and certain other parties, providing for the</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Semiconductor Corporation 2000 Employee Stock Purchase Plan, as amended</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HSR Act</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Hart-Scott-Rodino Antitrust Improvement Act of 1976, as amended</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IP</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IRS</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Internal Revenue Service</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$1.5 billion senior revolving credit facility created pursuant to the Credit Agreement</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ROU</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Right-of-use</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RSU</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SiC</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Silicon carbide</w:t>
            </w:r>
          </w:p>
        </w:tc>
      </w:tr>
      <w:tr>
        <w:trPr>
          <w:trHeight w:val="243"/>
        </w:trPr>
        <w:tc>
          <w:tcPr>
            <w:tcW w:w="40" w:type="dxa"/>
            <w:vAlign w:val="bottom"/>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43"/>
        </w:trPr>
        <w:tc>
          <w:tcPr>
            <w:tcW w:w="4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or United States</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Terms used, but not defined, within the body of the Form 10-Q are defined in this 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2,</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4,157.7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2,147.6</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0" w:type="dxa"/>
            <w:vAlign w:val="bottom"/>
          </w:tcPr>
          <w:p>
            <w:pPr>
              <w:spacing w:after="0"/>
              <w:rPr>
                <w:sz w:val="1"/>
                <w:szCs w:val="1"/>
                <w:color w:val="auto"/>
              </w:rPr>
            </w:pPr>
          </w:p>
        </w:tc>
      </w:tr>
      <w:tr>
        <w:trPr>
          <w:trHeight w:val="23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held-for-sale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5,823.1</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3,369.0</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929.1</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financing lease assets</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2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0" w:type="dxa"/>
            <w:vAlign w:val="bottom"/>
          </w:tcPr>
          <w:p>
            <w:pPr>
              <w:spacing w:after="0"/>
              <w:rPr>
                <w:sz w:val="1"/>
                <w:szCs w:val="1"/>
                <w:color w:val="auto"/>
              </w:rPr>
            </w:pPr>
          </w:p>
        </w:tc>
      </w:tr>
      <w:tr>
        <w:trPr>
          <w:trHeight w:val="251"/>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12,524.1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financing lease liabilities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0" w:type="dxa"/>
            <w:vAlign w:val="bottom"/>
          </w:tcPr>
          <w:p>
            <w:pPr>
              <w:spacing w:after="0"/>
              <w:rPr>
                <w:sz w:val="1"/>
                <w:szCs w:val="1"/>
                <w:color w:val="auto"/>
              </w:rPr>
            </w:pP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2,980.5</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financing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6,349.9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4,832.2</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 Semiconductor Corporation 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2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Common stock ($0.01 par value, 1,250,000,000 shares authorized, 627,260,040 and 624,962,201 issued, 389,258,454 and</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396,740,551 outstanding, respectively)</w:t>
            </w: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5,538.6</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earnings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8,241.9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Treasury stock, at cost: 238,001,586 and 228,221,650 shares,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(6,813.3)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(6,057.9)</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ON Semiconductor Corporation stockholders’ equity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7,673.3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7,691.9</w:t>
            </w:r>
          </w:p>
        </w:tc>
        <w:tc>
          <w:tcPr>
            <w:tcW w:w="0" w:type="dxa"/>
            <w:vAlign w:val="bottom"/>
          </w:tcPr>
          <w:p>
            <w:pPr>
              <w:spacing w:after="0"/>
              <w:rPr>
                <w:sz w:val="1"/>
                <w:szCs w:val="1"/>
                <w:color w:val="auto"/>
              </w:rPr>
            </w:pPr>
          </w:p>
        </w:tc>
      </w:tr>
      <w:tr>
        <w:trPr>
          <w:trHeight w:val="251"/>
        </w:trPr>
        <w:tc>
          <w:tcPr>
            <w:tcW w:w="8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12,524.1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7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October 2,</w:t>
            </w:r>
          </w:p>
        </w:tc>
        <w:tc>
          <w:tcPr>
            <w:tcW w:w="200" w:type="dxa"/>
            <w:vAlign w:val="bottom"/>
          </w:tcPr>
          <w:p>
            <w:pPr>
              <w:spacing w:after="0"/>
              <w:rPr>
                <w:sz w:val="14"/>
                <w:szCs w:val="14"/>
                <w:color w:val="auto"/>
              </w:rPr>
            </w:pPr>
          </w:p>
        </w:tc>
        <w:tc>
          <w:tcPr>
            <w:tcW w:w="124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auto"/>
              </w:rPr>
              <w:t>October 3,</w:t>
            </w:r>
          </w:p>
        </w:tc>
        <w:tc>
          <w:tcPr>
            <w:tcW w:w="180" w:type="dxa"/>
            <w:vAlign w:val="bottom"/>
          </w:tcPr>
          <w:p>
            <w:pPr>
              <w:spacing w:after="0"/>
              <w:rPr>
                <w:sz w:val="14"/>
                <w:szCs w:val="14"/>
                <w:color w:val="auto"/>
              </w:rPr>
            </w:pPr>
          </w:p>
        </w:tc>
        <w:tc>
          <w:tcPr>
            <w:tcW w:w="116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6"/>
                <w:szCs w:val="16"/>
                <w:b w:val="1"/>
                <w:bCs w:val="1"/>
                <w:color w:val="auto"/>
              </w:rPr>
              <w:t>October 2,</w:t>
            </w:r>
          </w:p>
        </w:tc>
        <w:tc>
          <w:tcPr>
            <w:tcW w:w="220" w:type="dxa"/>
            <w:vAlign w:val="bottom"/>
          </w:tcPr>
          <w:p>
            <w:pPr>
              <w:spacing w:after="0"/>
              <w:rPr>
                <w:sz w:val="14"/>
                <w:szCs w:val="14"/>
                <w:color w:val="auto"/>
              </w:rPr>
            </w:pPr>
          </w:p>
        </w:tc>
        <w:tc>
          <w:tcPr>
            <w:tcW w:w="1140" w:type="dxa"/>
            <w:vAlign w:val="bottom"/>
          </w:tcPr>
          <w:p>
            <w:pPr>
              <w:jc w:val="right"/>
              <w:ind w:right="239"/>
              <w:spacing w:after="0" w:line="172" w:lineRule="exact"/>
              <w:rPr>
                <w:sz w:val="20"/>
                <w:szCs w:val="20"/>
                <w:color w:val="auto"/>
              </w:rPr>
            </w:pPr>
            <w:r>
              <w:rPr>
                <w:rFonts w:ascii="Times New Roman" w:cs="Times New Roman" w:eastAsia="Times New Roman" w:hAnsi="Times New Roman"/>
                <w:sz w:val="16"/>
                <w:szCs w:val="16"/>
                <w:b w:val="1"/>
                <w:bCs w:val="1"/>
                <w:color w:val="auto"/>
              </w:rPr>
              <w:t>October 3,</w:t>
            </w:r>
          </w:p>
        </w:tc>
        <w:tc>
          <w:tcPr>
            <w:tcW w:w="0" w:type="dxa"/>
            <w:vAlign w:val="bottom"/>
          </w:tcPr>
          <w:p>
            <w:pPr>
              <w:spacing w:after="0"/>
              <w:rPr>
                <w:sz w:val="1"/>
                <w:szCs w:val="1"/>
                <w:color w:val="auto"/>
              </w:rPr>
            </w:pPr>
          </w:p>
        </w:tc>
      </w:tr>
      <w:tr>
        <w:trPr>
          <w:trHeight w:val="214"/>
        </w:trPr>
        <w:tc>
          <w:tcPr>
            <w:tcW w:w="5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4,465.3</w:t>
            </w:r>
          </w:p>
        </w:tc>
        <w:tc>
          <w:tcPr>
            <w:tcW w:w="0" w:type="dxa"/>
            <w:vAlign w:val="bottom"/>
          </w:tcPr>
          <w:p>
            <w:pPr>
              <w:spacing w:after="0"/>
              <w:rPr>
                <w:sz w:val="1"/>
                <w:szCs w:val="1"/>
                <w:color w:val="auto"/>
              </w:rPr>
            </w:pPr>
          </w:p>
        </w:tc>
      </w:tr>
      <w:tr>
        <w:trPr>
          <w:trHeight w:val="22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3,032.4</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0" w:type="dxa"/>
            <w:vAlign w:val="bottom"/>
          </w:tcPr>
          <w:p>
            <w:pPr>
              <w:spacing w:after="0"/>
              <w:rPr>
                <w:sz w:val="1"/>
                <w:szCs w:val="1"/>
                <w:color w:val="auto"/>
              </w:rPr>
            </w:pPr>
          </w:p>
        </w:tc>
      </w:tr>
      <w:tr>
        <w:trPr>
          <w:trHeight w:val="226"/>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0" w:type="dxa"/>
            <w:vAlign w:val="bottom"/>
          </w:tcPr>
          <w:p>
            <w:pPr>
              <w:spacing w:after="0"/>
              <w:rPr>
                <w:sz w:val="1"/>
                <w:szCs w:val="1"/>
                <w:color w:val="auto"/>
              </w:rPr>
            </w:pPr>
          </w:p>
        </w:tc>
      </w:tr>
      <w:tr>
        <w:trPr>
          <w:trHeight w:val="227"/>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Selling and marketing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0" w:type="dxa"/>
            <w:vAlign w:val="bottom"/>
          </w:tcPr>
          <w:p>
            <w:pPr>
              <w:spacing w:after="0"/>
              <w:rPr>
                <w:sz w:val="1"/>
                <w:szCs w:val="1"/>
                <w:color w:val="auto"/>
              </w:rPr>
            </w:pPr>
          </w:p>
        </w:tc>
      </w:tr>
      <w:tr>
        <w:trPr>
          <w:trHeight w:val="232"/>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0" w:type="dxa"/>
            <w:vAlign w:val="bottom"/>
          </w:tcPr>
          <w:p>
            <w:pPr>
              <w:spacing w:after="0"/>
              <w:rPr>
                <w:sz w:val="1"/>
                <w:szCs w:val="1"/>
                <w:color w:val="auto"/>
              </w:rPr>
            </w:pPr>
          </w:p>
        </w:tc>
      </w:tr>
      <w:tr>
        <w:trPr>
          <w:trHeight w:val="227"/>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 asset impairments and other,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1,548.8</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26"/>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2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2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ON Semiconductor Corporation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Net income (loss) per share of common stock attributable to ON Semiconductor</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Corporation: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of common stock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net of tax:</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23"/>
        </w:trPr>
        <w:tc>
          <w:tcPr>
            <w:tcW w:w="56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Effects of cash flow hedges and other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26"/>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ON Semiconductor Corporation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7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3"/>
                <w:szCs w:val="3"/>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720" w:type="dxa"/>
            <w:vAlign w:val="bottom"/>
          </w:tcPr>
          <w:p>
            <w:pPr>
              <w:spacing w:after="0"/>
              <w:rPr>
                <w:sz w:val="8"/>
                <w:szCs w:val="8"/>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At Par</w:t>
            </w:r>
          </w:p>
        </w:tc>
        <w:tc>
          <w:tcPr>
            <w:tcW w:w="8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3, 2026</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626,960,841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5,632.8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8,435.3</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(237,669,842)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(6,788.6)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7,238.5</w:t>
            </w: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pursuant to the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RSUs released and stock grant awards</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(59,612)</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(272,132)</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0" w:type="dxa"/>
            <w:vAlign w:val="bottom"/>
          </w:tcPr>
          <w:p>
            <w:pPr>
              <w:spacing w:after="0"/>
              <w:rPr>
                <w:sz w:val="1"/>
                <w:szCs w:val="1"/>
                <w:color w:val="auto"/>
              </w:rPr>
            </w:pPr>
          </w:p>
        </w:tc>
      </w:tr>
      <w:tr>
        <w:trPr>
          <w:trHeight w:val="22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October 2, 2026</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627,260,040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5,676.5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(238,001,586)</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(6,813.3)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7,581.4</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624,962,201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5,538.6</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8,241.9</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(228,221,650)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(6,057.9)</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7,691.9</w:t>
            </w: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pursuant to the ESPP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347,170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RSUs released and stock grant awards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1,950,669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Warrants and bond hedges, net - 2031</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 Notes</w:t>
            </w: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Tax impact of warrants and bond hedges,</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(660,264)</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(9,119,672)</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w:t>
            </w:r>
          </w:p>
        </w:tc>
        <w:tc>
          <w:tcPr>
            <w:tcW w:w="0" w:type="dxa"/>
            <w:vAlign w:val="bottom"/>
          </w:tcPr>
          <w:p>
            <w:pPr>
              <w:spacing w:after="0"/>
              <w:rPr>
                <w:sz w:val="1"/>
                <w:szCs w:val="1"/>
                <w:color w:val="auto"/>
              </w:rPr>
            </w:pPr>
          </w:p>
        </w:tc>
      </w:tr>
      <w:tr>
        <w:trPr>
          <w:trHeight w:val="22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8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w:t>
            </w:r>
          </w:p>
        </w:tc>
        <w:tc>
          <w:tcPr>
            <w:tcW w:w="0" w:type="dxa"/>
            <w:vAlign w:val="bottom"/>
          </w:tcPr>
          <w:p>
            <w:pPr>
              <w:spacing w:after="0"/>
              <w:rPr>
                <w:sz w:val="1"/>
                <w:szCs w:val="1"/>
                <w:color w:val="auto"/>
              </w:rPr>
            </w:pPr>
          </w:p>
        </w:tc>
      </w:tr>
      <w:tr>
        <w:trPr>
          <w:trHeight w:val="251"/>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2, 2026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627,260,040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(238,001,586)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(6,813.3)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720" w:type="dxa"/>
            <w:vAlign w:val="bottom"/>
          </w:tcPr>
          <w:p>
            <w:pPr>
              <w:spacing w:after="0"/>
              <w:rPr>
                <w:sz w:val="7"/>
                <w:szCs w:val="7"/>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7"/>
                <w:szCs w:val="7"/>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At Par</w:t>
            </w:r>
          </w:p>
        </w:tc>
        <w:tc>
          <w:tcPr>
            <w:tcW w:w="8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4,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624,436,148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(213,231,935)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(5,271.2)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7,961.2</w:t>
            </w: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pursuant to the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RSUs released and stock grant awards</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(46,927)</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(6,133,386)</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0" w:type="dxa"/>
            <w:vAlign w:val="bottom"/>
          </w:tcPr>
          <w:p>
            <w:pPr>
              <w:spacing w:after="0"/>
              <w:rPr>
                <w:sz w:val="1"/>
                <w:szCs w:val="1"/>
                <w:color w:val="auto"/>
              </w:rPr>
            </w:pPr>
          </w:p>
        </w:tc>
      </w:tr>
      <w:tr>
        <w:trPr>
          <w:trHeight w:val="226"/>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October 3,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624,728,933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5,495.3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8,060.1</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(219,412,248)</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(5,601.8)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7,926.1</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622,655,553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5,372.2</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8,120.9</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(199,700,380)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(4,640.5)</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8,814.5</w:t>
            </w: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pursuant to the ESPP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450,951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RSUs released and stock grant awards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1,622,426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Partial settlement - 0% Notes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Partial settlement of warrants - 0%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(565,552)</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(19,146,316)</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(933.8)</w:t>
            </w:r>
          </w:p>
        </w:tc>
        <w:tc>
          <w:tcPr>
            <w:tcW w:w="0" w:type="dxa"/>
            <w:vAlign w:val="bottom"/>
          </w:tcPr>
          <w:p>
            <w:pPr>
              <w:spacing w:after="0"/>
              <w:rPr>
                <w:sz w:val="1"/>
                <w:szCs w:val="1"/>
                <w:color w:val="auto"/>
              </w:rPr>
            </w:pP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51"/>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3,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624,728,933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(219,412,248)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(5,601.8)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 SEMICONDUCTOR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2"/>
        </w:trPr>
        <w:tc>
          <w:tcPr>
            <w:tcW w:w="8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260" w:type="dxa"/>
            <w:vAlign w:val="bottom"/>
          </w:tcPr>
          <w:p>
            <w:pPr>
              <w:spacing w:after="0"/>
              <w:rPr>
                <w:sz w:val="12"/>
                <w:szCs w:val="12"/>
                <w:color w:val="auto"/>
              </w:rPr>
            </w:pPr>
          </w:p>
        </w:tc>
        <w:tc>
          <w:tcPr>
            <w:tcW w:w="118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October 3,</w:t>
            </w:r>
          </w:p>
        </w:tc>
      </w:tr>
      <w:tr>
        <w:trPr>
          <w:trHeight w:val="196"/>
        </w:trPr>
        <w:tc>
          <w:tcPr>
            <w:tcW w:w="8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3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7"/>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or disposal of fixed assets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27"/>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divestiture of a business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26"/>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asset impairment charges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r>
      <w:tr>
        <w:trPr>
          <w:trHeight w:val="227"/>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deferred tax balances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r>
      <w:tr>
        <w:trPr>
          <w:trHeight w:val="232"/>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(exclusive of acquisitions and divestiture):</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Receivables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226"/>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7"/>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r>
      <w:tr>
        <w:trPr>
          <w:trHeight w:val="232"/>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26"/>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26"/>
        </w:trPr>
        <w:tc>
          <w:tcPr>
            <w:tcW w:w="82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w:t>
            </w:r>
          </w:p>
        </w:tc>
      </w:tr>
      <w:tr>
        <w:trPr>
          <w:trHeight w:val="20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acquisition of property, plant and equipment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w:t>
            </w:r>
          </w:p>
        </w:tc>
      </w:tr>
      <w:tr>
        <w:trPr>
          <w:trHeight w:val="227"/>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related to divestiture of businesses, net of cash transferred</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maturity of short-term investments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26"/>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acquisition of a business, net of cash acquired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23"/>
        </w:trPr>
        <w:tc>
          <w:tcPr>
            <w:tcW w:w="82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(487.8)</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6"/>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for the issuance of common stock under the ESPP</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27"/>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(927.4)</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Issuance and borrowings under debt agreements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Reimbursement of debt issuance and other financing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debt issuance and other financing costs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borrowings under debt agreements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for purchase of bond hedges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warrants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financing lease obligations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7"/>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Payments related to prior business acquisitions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82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r>
      <w:tr>
        <w:trPr>
          <w:trHeight w:val="22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 (Note 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2,693.4</w:t>
            </w:r>
          </w:p>
        </w:tc>
      </w:tr>
      <w:tr>
        <w:trPr>
          <w:trHeight w:val="25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 (Note 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240"/>
          </w:cols>
          <w:pgMar w:left="320" w:top="526" w:right="3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2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Semiconductor Corporation ("onsemi," "we," "us," "our," or the "Company"), with its wholly and majority-owned subsidiaries, operates under the onsemi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The Company is organized into three operating and reportable segments: the Power Solutions Group ("PSG"), the Analog and Mixed-Signal Group ("AMG") and the Intelligent Sensing Group ("ISG").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calendar year begins on January 1 and ends on December 31, with each fiscal quarter containing a thirteen-week accounting period. The quarters ended October 2, 2026 and October 3, 2025 each contained 91 days. The nine months ended October 2, 2026 and October 3, 2025 contained 275 days and 276 days, respectively.</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as of and for the quarter and nine months ended October 2, 2026 have been prepared following generally accepted accounting principles in the United States of America ("GAAP") for interim financial reporting and the rules and regulations of the SEC for interim reporting. Accordingly, the unaudited financial statements do not include all of the information and footnotes required by GAAP for audited financial statements. The balance sheet as of December 31, 2025 was derived from the Company's audited financial statements but does not include all disclosures required by GAAP for annual financial statements. In management's opinion, the interim information contains all adjustments, which include normal recurring adjustments necessary for a fair statement of the results for the interim periods. The footnote disclosures related to the interim financial information contained herein are also unaudited. Such financial information should be read in conjunction with the consolidated financial statements and related notes thereto for the year ended December 31, 2025, included in the Company's Annual Report on Form 10-K for the year ended December 31, 2025, which was filed with the SEC on February 9, 2026 (the "2025 Form 10-K"). Certain reclassifications within revenue disaggregation by end-markets have been made to prior period amounts to conform to current period presentation. See Note 2: ''Segments and Revenue'' for additional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 of assets and liabilities as of the date of the financial statements and the reported amount of revenue and expenses during the reporting period. Management evaluates these estimates and judgments on an ongoing basis and bases its estimates on experience, current and expected future conditions, third-party evaluations and various other assumptions that management believes are reasonable under the circumstances. Significant estimates have been used by management in conjunction with the following: (i) calculation of future payouts for customer incentives and amounts subject to allowances and returns; (ii) valuation and obsolescence relating to inventories; (iii) measurement of valuation allowances against deferred tax assets and evaluations of uncertain tax positions; (iv) assumptions used in business combinations and the valuation of assets held-for-sale; and (v) testing for impairment of long-lived assets and goodwill. Actual results may differ from the estimates and assumptions used in the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Definitive Agreement to Acquire Synaptics Incorporated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25, 2026, the Company entered into an Agreement and Plan of Reorganization with Sonic Acquisition Corp., a Delaware corporation and a wholly owned subsidiary of the Company, and Synaptics Incorporated ("Synaptics"), pursuant to which Sonic Acquisition Corp. will merge with and into Synaptics, with Synaptics surviving the merger and becoming a wholly owned subsidiary of the Company (the "Merger"). On October 1, 2026, the Company, Sonic Acquisition Corp., and Synaptics entered into an Amended and Restated Agreement and Plan of Merger (the "Amended Merger Agreement") to, among other things, amend and restate in its entirety the Agreement and Plan of Reorganization. The Amended Merger Agreement revises the Merger consideration to $123.00 per share in cash, without interest (the "Merger Consideration"). At the effective time of the Merger, each outstanding share of Synaptics common stock (subject to limited exceptions identified in the Amended Merger Agreement) will be converted into the right to receive the per-share Merger Consideration. The Company's Board of Directors unanimously approved the Amended Merger Agreement. The transaction is expected to close in mid-2027, subject to approval by Synaptics stockholders, the receipt of required regulatory approvals and other customary conditions.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Amended Merger Agreement, the Company entered into a commitment letter on October 1, 2026 with Morgan Stanley Senior Funding, Inc. ("MSSF"), which was subsequently amended and restated to include JPMorgan Chase Bank, N.A. and other banks as commitment parties thereto (collectively and together with MSSF, the "Financing Parties"), pursuant to which the Financing Parties have agreed to provide, subject to satisfaction of customary closing conditions, up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$2,450.0 million of senior secured term loans for the purpose of funding a portion of the Merger Consideration, and paying fees, costs and expenses in connection with the Merger.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Amended Merger Agreement contains certain termination rights for each of the Company and Synaptics. In certain circumstances in which the Amended Merger Agreement is terminated, Synaptics may be required to pay the Company a termination fee of $235.0 million, including if the Amended Merger Agreement is terminated by the Company due to a change of recommendation by the Synaptics’ board of directors, or by Synaptics to enter into a more favorable third-party acquisition proposal, as more fully described in the Amended Merger Agreement. In certain circumstances in which the Amended Merger Agreement is terminated due to the failure to obtain required regulatory approvals or following an injunction arising in connection with certain antitrust or foreign investment laws, the Company may be required to pay Synaptics a termination fee of $320.0 million, as more fully described in the Amended Merger Agreement.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HSR notifications were filed with the Federal Trade Commission ("FTC") and Department of Justice ("DOJ") on July 17, 2026. On August 12, 2026, the FTC granted early termination of the applicable waiting period under the HSR Act with respect to the Merger. The Company continues to advance the remaining required regulatory filings and currently expects to obtain all necessary approvals or waivers in order to close the Merger in mid-2027.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Segments and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organized into three operating and reportable segments consisting of PSG, AMG and ISG. These segments represent management's view of the business for which separate financial information is available and evaluated regularly by the Chief Operating Decision Maker ("CODM"), who is the Company’s Chief Executive Officer. The CODM uses segment gross profit for evaluating product pricing, factory utilization, allocation of capital and the assessment of segment profitability.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gross profit for the operating and reportable segments were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PSG</w:t>
            </w:r>
          </w:p>
        </w:tc>
        <w:tc>
          <w:tcPr>
            <w:tcW w:w="26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quarter ended October 2, 2026:</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1,722.3</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w:t>
            </w:r>
          </w:p>
        </w:tc>
      </w:tr>
      <w:tr>
        <w:trPr>
          <w:trHeight w:val="237"/>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quarter ended October 3, 2025: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w:t>
            </w:r>
          </w:p>
        </w:tc>
      </w:tr>
      <w:tr>
        <w:trPr>
          <w:trHeight w:val="23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nine months ended October 2, 2026: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4,839.1</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r>
      <w:tr>
        <w:trPr>
          <w:trHeight w:val="23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1,912.4</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nine months ended October 3, 2025: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4,465.3</w:t>
            </w:r>
          </w:p>
        </w:tc>
      </w:tr>
      <w:tr>
        <w:trPr>
          <w:trHeight w:val="243"/>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w:t>
            </w:r>
          </w:p>
        </w:tc>
      </w:tr>
      <w:tr>
        <w:trPr>
          <w:trHeight w:val="23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one customer, a distributor, whose revenue accounted for approximately 15% and 12% of total revenue for the quarters ended October 2, 2026 and October 3, 2025, respectively, and approximately 14% and 13% of the total revenue for the nine months ended October 2, 2026 and October 3, 2025, respectively, across all reportable segments. One customer, a distributor, accounted for approximately 11% and 10% of the Company's accounts receivable balance as of October 2, 2026 and December 31, 2025,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for the operating and reportable segments disaggregated into geographic locations based on sales billed from the respective country and sales channel was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Quarter Ended October 2, 2026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23"/>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PSG</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r>
      <w:tr>
        <w:trPr>
          <w:trHeight w:val="24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4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43"/>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57"/>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r>
      <w:tr>
        <w:trPr>
          <w:trHeight w:val="24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r>
      <w:tr>
        <w:trPr>
          <w:trHeight w:val="237"/>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w:t>
            </w:r>
          </w:p>
        </w:tc>
      </w:tr>
      <w:tr>
        <w:trPr>
          <w:trHeight w:val="21"/>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09"/>
        </w:trPr>
        <w:tc>
          <w:tcPr>
            <w:tcW w:w="6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October 2, 2026</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PSG</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r>
      <w:tr>
        <w:trPr>
          <w:trHeight w:val="24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w:t>
            </w:r>
          </w:p>
        </w:tc>
      </w:tr>
      <w:tr>
        <w:trPr>
          <w:trHeight w:val="24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r>
      <w:tr>
        <w:trPr>
          <w:trHeight w:val="243"/>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57"/>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2,822.1</w:t>
            </w:r>
          </w:p>
        </w:tc>
      </w:tr>
      <w:tr>
        <w:trPr>
          <w:trHeight w:val="24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2,017.0</w:t>
            </w:r>
          </w:p>
        </w:tc>
      </w:tr>
      <w:tr>
        <w:trPr>
          <w:trHeight w:val="236"/>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4,839.1</w:t>
            </w:r>
          </w:p>
        </w:tc>
      </w:tr>
      <w:tr>
        <w:trPr>
          <w:trHeight w:val="21"/>
        </w:trPr>
        <w:tc>
          <w:tcPr>
            <w:tcW w:w="6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Quarter Ended October 3, 2025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23"/>
        </w:trPr>
        <w:tc>
          <w:tcPr>
            <w:tcW w:w="6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PSG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AMG</w:t>
            </w:r>
          </w:p>
        </w:tc>
        <w:tc>
          <w:tcPr>
            <w:tcW w:w="30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80" w:type="dxa"/>
            <w:vAlign w:val="bottom"/>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r>
      <w:tr>
        <w:trPr>
          <w:trHeight w:val="243"/>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43"/>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r>
      <w:tr>
        <w:trPr>
          <w:trHeight w:val="243"/>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57"/>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w:t>
            </w:r>
          </w:p>
        </w:tc>
      </w:tr>
      <w:tr>
        <w:trPr>
          <w:trHeight w:val="243"/>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r>
      <w:tr>
        <w:trPr>
          <w:trHeight w:val="237"/>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1,550.9</w:t>
            </w: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3"/>
        </w:trPr>
        <w:tc>
          <w:tcPr>
            <w:tcW w:w="6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October 3, 2025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6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PSG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AMG</w:t>
            </w:r>
          </w:p>
        </w:tc>
        <w:tc>
          <w:tcPr>
            <w:tcW w:w="30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80" w:type="dxa"/>
            <w:vAlign w:val="bottom"/>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w:t>
            </w:r>
          </w:p>
        </w:tc>
      </w:tr>
      <w:tr>
        <w:trPr>
          <w:trHeight w:val="243"/>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r>
      <w:tr>
        <w:trPr>
          <w:trHeight w:val="243"/>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r>
      <w:tr>
        <w:trPr>
          <w:trHeight w:val="243"/>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r>
      <w:tr>
        <w:trPr>
          <w:trHeight w:val="257"/>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2,444.1</w:t>
            </w:r>
          </w:p>
        </w:tc>
      </w:tr>
      <w:tr>
        <w:trPr>
          <w:trHeight w:val="243"/>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w:t>
            </w:r>
          </w:p>
        </w:tc>
      </w:tr>
      <w:tr>
        <w:trPr>
          <w:trHeight w:val="236"/>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4,465.3</w:t>
            </w:r>
          </w:p>
        </w:tc>
      </w:tr>
      <w:tr>
        <w:trPr>
          <w:trHeight w:val="21"/>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in various geographic locations. Sales to external customers have little correlation to where products are manufactured or the location of the end-customer. It is, therefore, not meaningful to present operating profit by geographical location.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 is derived primarily from product sales and to a much lesser extent from product development agreements and non-recurring engineering ("NRE") arrangements. For each of the quarters and nine months ended October 2, 2026 and October 3, 2025, revenue recognized from product sales as a percentage of total revenue was approximately 100% and 99%, respectively, and revenue recognized from product development agreements and NRE arrangements was an immaterial amount and 1%,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end-markets and product technologies was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3"/>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October 3, 2025</w:t>
            </w: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End-Markets:</w:t>
            </w: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Automotive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2,282.4</w:t>
            </w: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AI data center</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r>
      <w:tr>
        <w:trPr>
          <w:trHeight w:val="236"/>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4,839.1</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4,465.3</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Other includes the end-markets of computing, consumer, networking,</w:t>
            </w:r>
          </w:p>
        </w:tc>
        <w:tc>
          <w:tcPr>
            <w:tcW w:w="1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communications, etc.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70"/>
        </w:trPr>
        <w:tc>
          <w:tcPr>
            <w:tcW w:w="5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 Technologies: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Intelligent power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w:t>
            </w: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Intelligent sensing</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r>
      <w:tr>
        <w:trPr>
          <w:trHeight w:val="243"/>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1,362.4</w:t>
            </w:r>
          </w:p>
        </w:tc>
      </w:tr>
      <w:tr>
        <w:trPr>
          <w:trHeight w:val="261"/>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by end-markets and product technologies is determined using known customer applications and other available information. For certain sales, primarily to distributors, when the ultimate application is not known at the time of sale, these are estimated based on historical trends and other relevant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the Company's orders are firm commitments that are non-cancellable, including certain orders or contracts with a duration of less than one year. Certain of the Company's customer contracts are multi-year agreements that include committed amounts ("Long-term Supply Agreements" or "LTSAs") for which the remaining performance obligations as of October 2, 2026 were approximately $5.5 billion (excluding the remaining performance obligations for contracts having a duration of one year or less). If products are shipped according to the terms of these contracts, the Company expects to recognize approximately 39% of this amount as revenue over the next 12 months. Total revenue estimates are based on negotiated contract prices and demand quantities, and could be influenced by risks and uncertainties, including manufacturing or supply chain constraints, modifications to customer agreements, and regulatory changes, among other factors. The timing, pricing or amounts of products delivered under LTSAs may be modified or canceled in certain circumstances, and the actual revenue recognized for the remaining performance obligations in future periods may significantly differ from current estimates.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LTSAs include non-cancellable capacity payments from the customer, which are generally due within 30 days of the agreement. These payments reserve production availability or are prepayments for the same purpose and are not recognized as revenue until the performance obligations are satisfied. Payments received in advance of the satisfaction of performance obligations are recorded as contract liabilities. The Company fulfilled certain performance obligations and recognized revenue of $7.5 million and $42.0 million for each of the quarters ended October 2, 2026 and October 3, 2025, respectively, and $35.8 million and $90.4 million for the nine months ended October 2, 2026 and October 3, 2025, respectively, related to contract liabilities outstanding as of the end of each respective prior year.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were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80" w:type="dxa"/>
            <w:vAlign w:val="bottom"/>
            <w:tcBorders>
              <w:bottom w:val="single" w:sz="8" w:color="auto"/>
            </w:tcBorders>
          </w:tcPr>
          <w:p>
            <w:pPr>
              <w:spacing w:after="0"/>
              <w:rPr>
                <w:sz w:val="18"/>
                <w:szCs w:val="18"/>
                <w:color w:val="auto"/>
              </w:rPr>
            </w:pP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included in:</w:t>
            </w: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21"/>
                <w:szCs w:val="21"/>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70"/>
        </w:trPr>
        <w:tc>
          <w:tcPr>
            <w:tcW w:w="8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included in:</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62"/>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Recent Accounting Pronouncements and Other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Adoption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(Subtopic 220-40): Reporting Comprehensive Income - Expense Disaggregation Disclosures ("ASU 2024-03")</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public business entities to expand disclosures about specific expense categories. The amendments in this ASU require a public entity to disclose, in tabular format, in the notes to the financial statements, specific information about certain costs and expenses. Although the ASU does not change the expense captions an entity presents on the face of the statement of operations, it requires disaggregation of certain expense captions into specified categories. For public business entities, the provisions of ASU 2024-03 are effective for fiscal years beginning after December 15, 2026. Early adoption is permitted. Management is currently evaluating the requirements under this new standard.</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Intangibles - Goodwill and Other - Internal-Use Software (Subtopic 350-40): Targeted Improvements to the Accounting for Internal-Use Software ("ASU 2025-06")</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to modernize the accounting for software costs that are accounted for under Subtopic 350-40,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The guidance removes all references to project stages throughout ASC 350-40 and clarifies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threshold that entities apply to begin capitalizing costs. For public business entities, the provisions of ASU 2025-06 are effective for fiscal years beginning after December 15, 2027, and interim reporting periods within those annual reporting periods. Early adoption is permitted. Management is currently evaluating the requirements under this new standard.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 (Topic 815): Hedge Accounting Improvements (ASU "2025-09")</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2025-09 to amend certain aspects of its hedge accounting guidance to better reflect an entity’s risk management activities in the financial statements. The guidance expands the hedged risks permitted to be aggregated in a group of individual forecasted transactions and increases the variable price components eligible to be designated as the hedged risk in the forecasted purchase or sale of nonfinancial assets. For public business entities, the provisions of ASU 2025-09 are effective for fiscal years beginning after December 15, 2026. Early adoption is permitted. Management is currently evaluating the requirements under this new standard.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 (Topic 832): Accounting for Government Grants Received by Business Entities (ASU "2025-10")</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2025, the FASB issued ASU 2025-10 to establish the accounting for a government grant received by a business entity, including guidance for</w:t>
      </w:r>
    </w:p>
    <w:p>
      <w:pPr>
        <w:spacing w:after="0" w:line="27" w:lineRule="exact"/>
        <w:rPr>
          <w:sz w:val="20"/>
          <w:szCs w:val="20"/>
          <w:color w:val="auto"/>
        </w:rPr>
      </w:pPr>
    </w:p>
    <w:p>
      <w:pPr>
        <w:jc w:val="both"/>
        <w:ind w:right="20" w:firstLine="8"/>
        <w:spacing w:after="0" w:line="255" w:lineRule="auto"/>
        <w:tabs>
          <w:tab w:leader="none" w:pos="2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related to an asset and (2) a grant related to income. For public business entities, the provisions of ASU 2025-10 are effective for fiscal years beginning after December 15, 2028. Early adoption is permitted. Management is currently evaluating the requirements under this new standard and does not expect the adoption to have a material impact on the Company's results of operations or financial condition.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Credits and Environmental Credit Obligations (Topic 818) (ASU "2026-02")</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2026, the FASB issued ASU 2026-02 to improve the financial accounting for and disclosure of activities related to environmental credits and environmental credit obligations. ASU 2026-02 provides recognition, measurement, presentation, and disclosure requirements for all entities that generate, purchase, or receive environmental credits or have a regulatory compliance obligation that may be settled with environmental credits. For public business entities, the provisions of ASU 2026-02 are effective for fiscal years beginning after December 15, 2027, and interim reporting periods within those annual reporting periods. Early adoption is permitted. Management is currently evaluating the requirements under this new standard.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 and Divestitures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accounting for its 2025 business combinations since December 31, 2025. The purchase accounting for the acquisition of rights to Vcore power technologies, including associated intellectual property licenses, from Aura Semiconductor, which was considered preliminary as of December 31, 2025, was final as of April 3, 2026, with no changes to the previous purchase price allocation.</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May 4, 2026, the Company completed the acquisition of rights to the RISC-V processor IP enterprise from Codasip s.r.o. The acquisition, which has been accounted for as a business combination, is intended to accelerate the Company's compute capabilities through acquired RISC-V cores, Codasip Studio EDA tools, supporting IP, and an assembled workforce. Total purchase consideration is up to $14.5 million in cash, including $1.45 million withheld and payable upon IP acceptance and completion of the contractual defect remediation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 2026, the Company entered into a definitive agreement to sell a manufacturing facility in the Philippines for $25 million in cash, subject to customary closing adjustments and conditions. The transaction closed on October 2, 2026 and the Company received net cash proceeds of $24.2 million after customary closing adjustments. The Company recorded a gain on divestiture of approximately $3.1 million within Other income in the accompanying Consolidated Statement of Operations, after writing off the carrying value of the net assets disposed, net of cash transferred, of $24.3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7, 2026, the Company entered into a definitive agreement to sell its manufacturing facility in Mountain Top, PA for $40 million in cash, subject to customary closing adjustments and conditions, and received a $10 million deposit. The Company will continue operating the facility through 2027 to support the transition of production to other manufacturing sites, with the sale and transfer of ownership expected by the end of 2027. As of October 2, 2026, the facility did not meet the criteria for classification as held-for-sale, and accordingly, the Company continues to account for these assets as held-and-used.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Restructuring, Asset Impairments and Other,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restructuring, asset impairments and other, net were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Asset Impairments</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quarter ended October 2, 2026:</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43"/>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2026 Manufacturing Realignment Program</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793"/>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2"/>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Asset Impairments</w:t>
            </w: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 Charges</w:t>
            </w:r>
          </w:p>
        </w:tc>
        <w:tc>
          <w:tcPr>
            <w:tcW w:w="320" w:type="dxa"/>
            <w:vAlign w:val="bottom"/>
          </w:tcPr>
          <w:p>
            <w:pPr>
              <w:spacing w:after="0"/>
              <w:rPr>
                <w:sz w:val="24"/>
                <w:szCs w:val="24"/>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quarter ended October 3, 2025:</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4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2025 Manufacturing Realignment Program</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61"/>
        </w:trPr>
        <w:tc>
          <w:tcPr>
            <w:tcW w:w="5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Asset Impairments</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8"/>
                <w:szCs w:val="18"/>
                <w:color w:val="auto"/>
              </w:rPr>
            </w:pPr>
          </w:p>
        </w:tc>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nine months ended October 2, 2026:</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43"/>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2026 Manufacturing Realignment Program</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r>
      <w:tr>
        <w:trPr>
          <w:trHeight w:val="262"/>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44"/>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Asset Impairments</w:t>
            </w:r>
          </w:p>
        </w:tc>
        <w:tc>
          <w:tcPr>
            <w:tcW w:w="16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 Charges</w:t>
            </w:r>
          </w:p>
        </w:tc>
        <w:tc>
          <w:tcPr>
            <w:tcW w:w="140" w:type="dxa"/>
            <w:vAlign w:val="bottom"/>
          </w:tcPr>
          <w:p>
            <w:pPr>
              <w:spacing w:after="0"/>
              <w:rPr>
                <w:sz w:val="24"/>
                <w:szCs w:val="24"/>
                <w:color w:val="auto"/>
              </w:rPr>
            </w:pPr>
          </w:p>
        </w:tc>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nine months ended October 3, 2025:</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 Manufacturing Realignment Program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4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Business Realignment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6"/>
        </w:trPr>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1"/>
        </w:trPr>
        <w:tc>
          <w:tcPr>
            <w:tcW w:w="52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47"/>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summary of changes in the accrued restructuring balance by program was as follows (in millions):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5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33"/>
        </w:trPr>
        <w:tc>
          <w:tcPr>
            <w:tcW w:w="52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7"/>
              </w:rPr>
              <w:t>Usage</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October 2, 2026</w:t>
            </w:r>
          </w:p>
        </w:tc>
      </w:tr>
      <w:tr>
        <w:trPr>
          <w:trHeight w:val="23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Manufacturing Realignment Program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Manufacturing Realignment Program</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recorded under the 2026 Manufacturing Realignment Program represent new restructuring activities that expand upon the Company’s 2025 Manufacturing Realignment Program for actions and decisions taken in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Manufacturing Realignment Program</w:t>
      </w:r>
    </w:p>
    <w:p>
      <w:pPr>
        <w:spacing w:after="0" w:line="25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During the quarter and nine months ended October 2, 2026, the Company continued to engage in additional restructuring and cost reduction initiatives under its previously disclosed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manufacturing realignment program to better align manufacturing capacity and capabilities with anticipated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needs. These initiatives resulted in a reduction of global workforce, impairments of certain long-lived assets that met the held-for-sale criteria, and certain other charges primarily relating to the accelerated amortization and depreciation of assets for actions taken previously.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Restructuring charges include estimated severance payments and related benefit expenses for employees who were notified of their employment termination or terminated during the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as part of the 2026 Manufacturing Realignment Program, the Company initiated a restructuring plan to further reduce its global workforce by approximately 650 employees, and, in connection with such plan, the Company expects to incur total severance and other related benefit expenses of approximately $26 million in 2026. Of this, approximately $1.5 million and $24.2 million was recognized during the quarter and nine months ended October 2, 2026, respectively, with the remaining amount expected to be recognized during the remainder of 2026.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aggregate expenses relating to these actions, the Company paid approximately $21.8 million to approximately 600 terminated employees and had approximately $2.4 million accrued as of October 2,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impairment charges of $3.3 million and $166.6 million during the quarter and nine months ended October 2, 2026, respectively, related to previous investments in manufacturing equipment at certain manufacturing facilities pursuant to held-for-sale accounting guidance due to the assets no longer being needed to meet anticipated long-term customer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demand. Of the $166.6 million of asset impairment charges, $92.3 million and $72.4 million were for assets held in South Korea and the Czech Republic, respectively. During the respective quarters in 2026, it was determined that the assets identified by the Company met all criteria to be classified as assets held-for-sale with the expectation that these assets would be disposed of within 12 months from the end of the quarter. The impairment charges were determined as the difference between the carrying value of these long-lived assets and their estimated fair values, less estimated costs to sell such assets. Fair values were determined primarily by using unobservable inputs such as estimated sales prices based on available market prices, underlying equipment condition and market demand for similar equipment, inputs categorized as Level 3 within the fair value hierarchy. The Company utilized a third-party valuation specialist to assist in the determination of assets held-for-sale. Fair value was estimated primarily using market and income approaches, including third-party appraisals where available. Key unobservable inputs included expected sales proceeds, estimated equipment condition, and discount adjustments for certain specialized tooling.</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impairment charges for manufacturing equipment may be incurred in future periods pursuant to the timing of meeting the necessary criteria for being classified as held-for-sale.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charges amounted to $(0.2) million and $184.3 million for the quarter and nine months ended October 2, 2026, respectively. Of the $184.3 million for the nine months ended October 2, 2026, $81.7 million and $54.8 million related to the accelerated depreciation and amortization of one lease in each of the Czech Republic and the United States, respectively, that were abandoned in connection with the 2025 and 2026 Manufacturing Realignment Programs. The identified assets were fully depreciated and amortized as of April 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evaluate for potential operating improvements and efficiencies.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Balance Sheet Information and Other Supplemental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annually on the first day of the fourth quarter or more frequently if events or changes in circumstances would more likely-than-not reduce the fair value of a reporting unit below its carrying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goodwill by operating and reportable segments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PSG</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ISG</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0"/>
        </w:trPr>
        <w:tc>
          <w:tcPr>
            <w:tcW w:w="528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Balances as of December 31, 2025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w:t>
            </w:r>
          </w:p>
        </w:tc>
      </w:tr>
      <w:tr>
        <w:trPr>
          <w:trHeight w:val="243"/>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 related to business acquisition</w:t>
            </w:r>
          </w:p>
        </w:tc>
        <w:tc>
          <w:tcPr>
            <w:tcW w:w="9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Divestiture of a business</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528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Balances as of October 2, 2026 </w:t>
            </w:r>
            <w:r>
              <w:rPr>
                <w:rFonts w:ascii="Times New Roman" w:cs="Times New Roman" w:eastAsia="Times New Roman" w:hAnsi="Times New Roman"/>
                <w:sz w:val="23"/>
                <w:szCs w:val="23"/>
                <w:color w:val="auto"/>
                <w:vertAlign w:val="superscript"/>
              </w:rPr>
              <w:t>(1)</w:t>
            </w: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1,686.5</w:t>
            </w:r>
          </w:p>
        </w:tc>
      </w:tr>
      <w:tr>
        <w:trPr>
          <w:trHeight w:val="20"/>
        </w:trPr>
        <w:tc>
          <w:tcPr>
            <w:tcW w:w="5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hanging="332"/>
        <w:spacing w:after="0" w:line="229"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of accumulated goodwill impairment losses of $31.9 million in the PSG reportable segment and $748.9 million in the AMG reportable segment as of October 2, 2026 and December 31, 2025.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inventories were as follows (in millions):</w:t>
      </w:r>
    </w:p>
    <w:p>
      <w:pPr>
        <w:spacing w:after="0" w:line="6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21590</wp:posOffset>
            </wp:positionV>
            <wp:extent cx="18770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9" w:lineRule="exact"/>
        <w:rPr>
          <w:sz w:val="20"/>
          <w:szCs w:val="20"/>
          <w:color w:val="auto"/>
        </w:rPr>
      </w:pPr>
    </w:p>
    <w:p>
      <w:pPr>
        <w:jc w:val="center"/>
        <w:ind w:left="8380"/>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October 2, 2026</w:t>
      </w:r>
      <w:r>
        <w:rPr>
          <w:sz w:val="20"/>
          <w:szCs w:val="20"/>
          <w:color w:val="auto"/>
        </w:rPr>
        <w:tab/>
      </w:r>
      <w:r>
        <w:rPr>
          <w:rFonts w:ascii="Times New Roman" w:cs="Times New Roman" w:eastAsia="Times New Roman" w:hAnsi="Times New Roman"/>
          <w:sz w:val="16"/>
          <w:szCs w:val="16"/>
          <w:b w:val="1"/>
          <w:bCs w:val="1"/>
          <w:u w:val="single" w:color="auto"/>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4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r>
      <w:tr>
        <w:trPr>
          <w:trHeight w:val="24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r>
      <w:tr>
        <w:trPr>
          <w:trHeight w:val="261"/>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the aggregate amount of all over-funded plans as assets and the aggregate amount of all underfunded plans as liabilities in its financial statements. As of October 2, 2026, the net assets for the over-funded plans totaled $30.5 million. The total accrued pension liability for underfunded plans was $54.1 million, of which the current portion of $0.4 million was classified as Accrued expenses and other current liabilities. During the quarter and nine months ended October 2, 2026, the Company recognized an immaterial actuarial gain associated with the divestiture. As of December 31, 2025, the net funded status for all the plans was a liability of $26.4 million, of which the current portion of $1.5 million was classified as Accrued expenses and other current liabilities.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pension expense were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3"/>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October 3, 2025</w:t>
            </w:r>
          </w:p>
        </w:tc>
      </w:tr>
      <w:tr>
        <w:trPr>
          <w:trHeight w:val="24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 losses</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arrangements are comprised primarily of real estate and equipment agreements. The components of lease expense (including accelerated amortization related to ROU asset abandonment discussed in Note 5) were as follows (in millions):</w:t>
      </w:r>
    </w:p>
    <w:p>
      <w:pPr>
        <w:sectPr>
          <w:pgSz w:w="11900" w:h="16838" w:orient="portrait"/>
          <w:cols w:equalWidth="0" w:num="1">
            <w:col w:w="11240"/>
          </w:cols>
          <w:pgMar w:left="320" w:top="117" w:right="339" w:bottom="1440" w:gutter="0" w:footer="0" w:header="0"/>
        </w:sectPr>
      </w:pPr>
    </w:p>
    <w:p>
      <w:pPr>
        <w:spacing w:after="0" w:line="2"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6"/>
          <w:szCs w:val="16"/>
          <w:b w:val="1"/>
          <w:bCs w:val="1"/>
          <w:color w:val="auto"/>
        </w:rPr>
        <w:t>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21590</wp:posOffset>
            </wp:positionV>
            <wp:extent cx="18770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9" w:lineRule="exact"/>
        <w:rPr>
          <w:sz w:val="20"/>
          <w:szCs w:val="20"/>
          <w:color w:val="auto"/>
        </w:rPr>
      </w:pPr>
    </w:p>
    <w:p>
      <w:pPr>
        <w:ind w:left="5400"/>
        <w:spacing w:after="0"/>
        <w:tabs>
          <w:tab w:leader="none" w:pos="6900" w:val="left"/>
        </w:tabs>
        <w:rPr>
          <w:sz w:val="20"/>
          <w:szCs w:val="20"/>
          <w:color w:val="auto"/>
        </w:rPr>
      </w:pPr>
      <w:r>
        <w:rPr>
          <w:rFonts w:ascii="Times New Roman" w:cs="Times New Roman" w:eastAsia="Times New Roman" w:hAnsi="Times New Roman"/>
          <w:sz w:val="16"/>
          <w:szCs w:val="16"/>
          <w:b w:val="1"/>
          <w:bCs w:val="1"/>
          <w:color w:val="auto"/>
        </w:rPr>
        <w:t>October 2, 2026</w:t>
      </w:r>
      <w:r>
        <w:rPr>
          <w:sz w:val="20"/>
          <w:szCs w:val="20"/>
          <w:color w:val="auto"/>
        </w:rPr>
        <w:tab/>
      </w:r>
      <w:r>
        <w:rPr>
          <w:rFonts w:ascii="Times New Roman" w:cs="Times New Roman" w:eastAsia="Times New Roman" w:hAnsi="Times New Roman"/>
          <w:sz w:val="16"/>
          <w:szCs w:val="16"/>
          <w:b w:val="1"/>
          <w:bCs w:val="1"/>
          <w:color w:val="auto"/>
        </w:rPr>
        <w:t>October 3, 2025</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21590</wp:posOffset>
            </wp:positionV>
            <wp:extent cx="18770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6"/>
          <w:szCs w:val="16"/>
          <w:b w:val="1"/>
          <w:bCs w:val="1"/>
          <w:color w:val="auto"/>
        </w:rPr>
        <w:t>October 2, 2026</w:t>
      </w:r>
      <w:r>
        <w:rPr>
          <w:sz w:val="20"/>
          <w:szCs w:val="20"/>
          <w:color w:val="auto"/>
        </w:rPr>
        <w:tab/>
      </w:r>
      <w:r>
        <w:rPr>
          <w:rFonts w:ascii="Times New Roman" w:cs="Times New Roman" w:eastAsia="Times New Roman" w:hAnsi="Times New Roman"/>
          <w:sz w:val="16"/>
          <w:szCs w:val="16"/>
          <w:b w:val="1"/>
          <w:bCs w:val="1"/>
          <w:color w:val="auto"/>
        </w:rPr>
        <w:t>October 3, 2025</w:t>
      </w:r>
    </w:p>
    <w:p>
      <w:pPr>
        <w:spacing w:after="0" w:line="28" w:lineRule="exact"/>
        <w:rPr>
          <w:sz w:val="20"/>
          <w:szCs w:val="20"/>
          <w:color w:val="auto"/>
        </w:rPr>
      </w:pPr>
    </w:p>
    <w:p>
      <w:pPr>
        <w:sectPr>
          <w:pgSz w:w="11900" w:h="16838" w:orient="portrait"/>
          <w:cols w:equalWidth="0" w:num="2">
            <w:col w:w="8020" w:space="440"/>
            <w:col w:w="27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w:t>
            </w:r>
          </w:p>
        </w:tc>
        <w:tc>
          <w:tcPr>
            <w:tcW w:w="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w:t>
            </w:r>
          </w:p>
        </w:tc>
        <w:tc>
          <w:tcPr>
            <w:tcW w:w="5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
        </w:trPr>
        <w:tc>
          <w:tcPr>
            <w:tcW w:w="5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 liabilities and operating ROU assets recognized in the Consolidated Balance Sheets were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80" w:type="dxa"/>
            <w:vAlign w:val="bottom"/>
            <w:tcBorders>
              <w:bottom w:val="single" w:sz="8" w:color="auto"/>
            </w:tcBorders>
          </w:tcPr>
          <w:p>
            <w:pPr>
              <w:spacing w:after="0"/>
              <w:rPr>
                <w:sz w:val="18"/>
                <w:szCs w:val="18"/>
                <w:color w:val="auto"/>
              </w:rPr>
            </w:pP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included in:</w:t>
            </w: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21"/>
                <w:szCs w:val="21"/>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09"/>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ROU assets included in: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tcPr>
          <w:p>
            <w:pPr>
              <w:spacing w:after="0"/>
              <w:rPr>
                <w:sz w:val="21"/>
                <w:szCs w:val="21"/>
                <w:color w:val="auto"/>
              </w:rPr>
            </w:pPr>
          </w:p>
        </w:tc>
        <w:tc>
          <w:tcPr>
            <w:tcW w:w="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2, 2026, the weighted-average remaining lease terms were 9.6 years and 15.3 years, and the weighted-average discount rates were 5.2% and 5.8%, for operating leases and financing leases,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 of Cash Flow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cash and non-cash activities were as follows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October 3, 2025</w:t>
            </w:r>
          </w:p>
        </w:tc>
      </w:tr>
      <w:tr>
        <w:trPr>
          <w:trHeight w:val="226"/>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43"/>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 in accounts payable and other long-term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4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ROU assets obtained in exchange for lease liabilities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43"/>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43"/>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payments in operating cash flows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the captions in the Consolidated Balance Sheets to the Consolidated Statements of Cash Flows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4,157.7</w:t>
            </w:r>
          </w:p>
        </w:tc>
        <w:tc>
          <w:tcPr>
            <w:tcW w:w="100" w:type="dxa"/>
            <w:vAlign w:val="bottom"/>
          </w:tcPr>
          <w:p>
            <w:pPr>
              <w:spacing w:after="0"/>
              <w:rPr>
                <w:sz w:val="21"/>
                <w:szCs w:val="21"/>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2,472.5</w:t>
            </w:r>
          </w:p>
        </w:tc>
        <w:tc>
          <w:tcPr>
            <w:tcW w:w="80" w:type="dxa"/>
            <w:vAlign w:val="bottom"/>
          </w:tcPr>
          <w:p>
            <w:pPr>
              <w:spacing w:after="0"/>
              <w:rPr>
                <w:sz w:val="21"/>
                <w:szCs w:val="21"/>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8"/>
        </w:trPr>
        <w:tc>
          <w:tcPr>
            <w:tcW w:w="52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Cash, cash equivalents and restricted cash in Consolidated Statements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4,159.1</w:t>
            </w:r>
          </w:p>
        </w:tc>
        <w:tc>
          <w:tcPr>
            <w:tcW w:w="100" w:type="dxa"/>
            <w:vAlign w:val="bottom"/>
          </w:tcPr>
          <w:p>
            <w:pPr>
              <w:spacing w:after="0"/>
              <w:rPr>
                <w:sz w:val="15"/>
                <w:szCs w:val="15"/>
                <w:color w:val="auto"/>
              </w:rPr>
            </w:pPr>
          </w:p>
        </w:tc>
        <w:tc>
          <w:tcPr>
            <w:tcW w:w="460" w:type="dxa"/>
            <w:vAlign w:val="bottom"/>
            <w:vMerge w:val="restart"/>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80" w:type="dxa"/>
            <w:vAlign w:val="bottom"/>
          </w:tcPr>
          <w:p>
            <w:pPr>
              <w:spacing w:after="0"/>
              <w:rPr>
                <w:sz w:val="15"/>
                <w:szCs w:val="15"/>
                <w:color w:val="auto"/>
              </w:rPr>
            </w:pPr>
          </w:p>
        </w:tc>
        <w:tc>
          <w:tcPr>
            <w:tcW w:w="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0" w:type="dxa"/>
            <w:vAlign w:val="bottom"/>
          </w:tcPr>
          <w:p>
            <w:pPr>
              <w:spacing w:after="0"/>
              <w:rPr>
                <w:sz w:val="1"/>
                <w:szCs w:val="1"/>
                <w:color w:val="auto"/>
              </w:rPr>
            </w:pP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Cash Flows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(in millions, with annualized interest rates):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60" w:type="dxa"/>
            <w:vAlign w:val="bottom"/>
            <w:tcBorders>
              <w:bottom w:val="single" w:sz="8" w:color="auto"/>
            </w:tcBorders>
          </w:tcPr>
          <w:p>
            <w:pPr>
              <w:spacing w:after="0"/>
              <w:rPr>
                <w:sz w:val="18"/>
                <w:szCs w:val="18"/>
                <w:color w:val="auto"/>
              </w:rPr>
            </w:pPr>
          </w:p>
        </w:tc>
      </w:tr>
      <w:tr>
        <w:trPr>
          <w:trHeight w:val="223"/>
        </w:trPr>
        <w:tc>
          <w:tcPr>
            <w:tcW w:w="8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0"/>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 due 2028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0.50% Notes due 2029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Notes due 2031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 Notes due 2027</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r>
      <w:tr>
        <w:trPr>
          <w:trHeight w:val="243"/>
        </w:trPr>
        <w:tc>
          <w:tcPr>
            <w:tcW w:w="82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3.875% Notes due 2028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long-term debt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3,004.9</w:t>
            </w:r>
          </w:p>
        </w:tc>
      </w:tr>
      <w:tr>
        <w:trPr>
          <w:trHeight w:val="243"/>
        </w:trPr>
        <w:tc>
          <w:tcPr>
            <w:tcW w:w="828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18"/>
                <w:szCs w:val="18"/>
                <w:color w:val="auto"/>
              </w:rPr>
              <w:t xml:space="preserve">Less: Unamortized debt discount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280" w:type="dxa"/>
            <w:vAlign w:val="bottom"/>
            <w:tcBorders>
              <w:bottom w:val="single" w:sz="8" w:color="CCEEFF"/>
            </w:tcBorders>
          </w:tcPr>
          <w:p>
            <w:pPr>
              <w:ind w:left="460"/>
              <w:spacing w:after="0" w:line="243" w:lineRule="exact"/>
              <w:rPr>
                <w:sz w:val="20"/>
                <w:szCs w:val="20"/>
                <w:color w:val="auto"/>
              </w:rPr>
            </w:pPr>
            <w:r>
              <w:rPr>
                <w:rFonts w:ascii="Times New Roman" w:cs="Times New Roman" w:eastAsia="Times New Roman" w:hAnsi="Times New Roman"/>
                <w:sz w:val="18"/>
                <w:szCs w:val="18"/>
                <w:color w:val="auto"/>
              </w:rPr>
              <w:t xml:space="preserve">Less: Unamortized debt issuance costs </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long-term debt, including current maturities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w:t>
            </w:r>
          </w:p>
        </w:tc>
      </w:tr>
      <w:tr>
        <w:trPr>
          <w:trHeight w:val="243"/>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Current maturities</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8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is payable on March 1 and September 1 of each year at 0.50% annually.</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is payable on March 1 and September 1 of each year at 3.875% annually.</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Unamortized debt discount of $1.7 million and $2.5 million for the 3.875% Notes as of October 2, 2026 and December 31, 2025, respectively.</w:t>
      </w:r>
    </w:p>
    <w:p>
      <w:pPr>
        <w:spacing w:after="0" w:line="56" w:lineRule="exact"/>
        <w:rPr>
          <w:rFonts w:ascii="Times New Roman" w:cs="Times New Roman" w:eastAsia="Times New Roman" w:hAnsi="Times New Roman"/>
          <w:sz w:val="23"/>
          <w:szCs w:val="23"/>
          <w:color w:val="auto"/>
          <w:vertAlign w:val="superscript"/>
        </w:rPr>
      </w:pPr>
    </w:p>
    <w:p>
      <w:pPr>
        <w:jc w:val="both"/>
        <w:ind w:left="340" w:hanging="332"/>
        <w:spacing w:after="0" w:line="228"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Unamortized debt issuance costs of $12.8 million and $16.5 million for the 0.50% Notes, $24.7 million and $0.0 million for the 2031 0% Notes, $1.9 million and $4.5 million for the 0% Notes and $0.6 million and $0.9 million for the 3.875% Notes, in each case as of October 2, 2026 and December 31, 2025, respectively.</w:t>
      </w: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maturities of gross long-term debt (including current portion - see section below on 0% Notes due 2027) as of October 2, 2026 were as follows (in millions):</w:t>
      </w:r>
    </w:p>
    <w:tbl>
      <w:tblPr>
        <w:tblLayout w:type="fixed"/>
        <w:tblInd w:w="0" w:type="dxa"/>
        <w:tblCellMar>
          <w:top w:w="0" w:type="dxa"/>
          <w:left w:w="0" w:type="dxa"/>
          <w:bottom w:w="0" w:type="dxa"/>
          <w:right w:w="0" w:type="dxa"/>
        </w:tblCellMar>
      </w:tblPr>
      <w:tr>
        <w:trPr>
          <w:trHeight w:val="166"/>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312"/>
              <w:spacing w:after="0" w:line="167" w:lineRule="exact"/>
              <w:rPr>
                <w:sz w:val="20"/>
                <w:szCs w:val="20"/>
                <w:color w:val="auto"/>
              </w:rPr>
            </w:pPr>
            <w:r>
              <w:rPr>
                <w:rFonts w:ascii="Times New Roman" w:cs="Times New Roman" w:eastAsia="Times New Roman" w:hAnsi="Times New Roman"/>
                <w:sz w:val="16"/>
                <w:szCs w:val="16"/>
                <w:b w:val="1"/>
                <w:bCs w:val="1"/>
                <w:color w:val="auto"/>
              </w:rPr>
              <w:t>Expected</w:t>
            </w:r>
          </w:p>
        </w:tc>
        <w:tc>
          <w:tcPr>
            <w:tcW w:w="0" w:type="dxa"/>
            <w:vAlign w:val="bottom"/>
          </w:tcPr>
          <w:p>
            <w:pPr>
              <w:spacing w:after="0"/>
              <w:rPr>
                <w:sz w:val="1"/>
                <w:szCs w:val="1"/>
                <w:color w:val="auto"/>
              </w:rPr>
            </w:pPr>
          </w:p>
        </w:tc>
      </w:tr>
      <w:tr>
        <w:trPr>
          <w:trHeight w:val="214"/>
        </w:trPr>
        <w:tc>
          <w:tcPr>
            <w:tcW w:w="9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0" w:type="dxa"/>
            <w:vAlign w:val="bottom"/>
          </w:tcPr>
          <w:p>
            <w:pPr>
              <w:spacing w:after="0"/>
              <w:rPr>
                <w:sz w:val="1"/>
                <w:szCs w:val="1"/>
                <w:color w:val="auto"/>
              </w:rPr>
            </w:pPr>
          </w:p>
        </w:tc>
      </w:tr>
      <w:tr>
        <w:trPr>
          <w:trHeight w:val="238"/>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0" w:type="dxa"/>
            <w:vAlign w:val="bottom"/>
          </w:tcPr>
          <w:p>
            <w:pPr>
              <w:spacing w:after="0"/>
              <w:rPr>
                <w:sz w:val="1"/>
                <w:szCs w:val="1"/>
                <w:color w:val="auto"/>
              </w:rPr>
            </w:pP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61"/>
        </w:trPr>
        <w:tc>
          <w:tcPr>
            <w:tcW w:w="9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4,504.7</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its covenants under all debt agreements as of October 2, 2026, and expects to remain in compliance with all covenants over at least the next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0% Convertible Senior Notes due 2027</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October 2, 2026, based on the maturity date of the 0% Notes, the $804.7 million remaining outstanding principal amount of the 0% Notes, net of unamortized issuance costs, was classified as a current portion of long-term debt. Additionally, pursuant to the indenture governing the 0% Notes, since the last reported sale price of the Company’s common stock for at least 20 trading days during the period of 30 consecutive trading days ending on October 2, 2026 was greater than or equal to $68.86 (130% of the conversion price) on each applicable trading day, the holders have the right to surrender any portion of their 0% Notes (in minimum denominations of $1,000 in principal amount or an integral multiple thereof) for conversion during the calendar quarter ending December 31, 2026, and only during such calendar quarter.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0% Convertible Senior Notes due 2031</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11, 2026, the Company issued $1.5 billion aggregate principal amount of 0% Convertible Senior Notes due May 1, 2031 (the "2031 0% Notes") in a private offering. The Company received net proceeds of $1,472.9 million after deducting purchaser discounts and debt issuance and other financing costs. Concurrently with the issuance, the Company paid $351.6 million to enter into convertible note hedge transactions and received $281.0 million in proceeds from the sale of warrants. The Company also used $331.9 million of the net proceeds to repurchase 3.1 million shares of the Company’s common stock. The remaining proceeds are intended for general corporate purposes, including the repayment of outstanding debt.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2031 0% Notes were accounted for as a single liability instrument. The embedded conversion feature qualified for the scope exception applicable to contracts indexed to, and settled in, the Company's own stock and, therefore, was not accounted for separately as a derivative. Debt issuance costs of $26.9 million were recorded as a direct deduction from the carrying amount of the 2031 0% Notes and are amortized to interest expense over the contractual term of the notes using the effective interest method.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2031 0% Notes are senior unsecured obligations of the Company and are fully and unconditionally guaranteed by certain subsidiaries. The 2031 0% Notes will not bear regular interest, and the principal amount of the Notes will not accrete. The 2031 0% Notes were issued under an indenture dated May 11, 2026, by and among the Company, the guarantors and Computershare Trust Company, National Association, as trustee (the "Indenture"), and will mature on May 1, 2031, unless earlier converted, redeemed, or repurchased in accordance with their terms.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may convert their 2031 0% Notes at any time beginning on February 1, 2031, until the close of business on the second scheduled trading day immediately preceding the maturity date. Before that date, conversion is permitted only if certain conditions are met, including specified stock price thresholds, trading price conditions, redemption events, or certain corporate transactions. The initial conversion rate is 6.1997 shares of common stock per $1,000 principal amount, equivalent to an initial conversion price of approximately $161.30 per share. Upon conversion, the Company may settle the principal amount in cash and may settle any excess value in cash, shares of common stock, or a combination of both, at its election. The conversion rate may be adjusted for certain events as specified in the Indenture. As of October 2, 2026, there have been no changes to the initial conversion price of the 2031 0% Notes since the issuance date. The maximum number of shares that could be issued upon conversion is approximately 14.2 million shares, which is subject to customary anti-dilution adjustment provisions.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May 7, 2029, the Company may redeem the 2031 0% Notes, in whole or in part, for cash if the Company's stock price exceeds 130% of the conversion price for at least 20 trading days (whether or not consecutive) during any 30 consecutive trading-day period ending on, and including, the last trading day of the immediately preceding calendar quarter. The redemption price will be equal to 100% of the principal amount.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2031 0% Notes, the Company recorded $26.3 million of initial purchaser discounts and incurred $0.6 million of additional issuance costs, both of which were capitalized as debt issuance costs. The effective interest rate, including the impact of debt issuance costs, is 0.4% over the contractual term of the 2031 0% Notes.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entered into convertible note hedge transactions with certain financial institutions to reduce potential dilution and/or offset potential cash payments in excess of the principal amount upon conversion of the 2031 0% Notes. These hedge transactions cover the number of shares underlying the 2031 0% Notes, subject to customary adjustments, and are expected to settle at the same time as any conversions. The Company paid $351.6 million for these hedge transactions, which was recorded in stockholders’ equity.</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same time, the Company sold warrants to certain financial institutions covering 9.3 million shares of its common stock at an initial strike price of $211.54 per share, which represents a 100.0% premium to the Company's stock price on May 6, 2026, subject to adjustment. The warrants expire on August 1, 2031, and the maximum number of shares that may be issued under the warrants is approximately 18.6 million shares. The Company received $281.0 million in proceeds from the sale of the warrants, which was recorded in stockholders’ equity. The proceeds from the warrants partially offset the cost of the hedge transactions.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recorded a deferred tax asset of $78.4 million related to the tax effects of the hedge and warrant transactions, including the deductibility of the net cost. The Company recorded a deferred tax asset associated with the tax basis created by the note hedge and warrant transactions. The deferred tax effects were recorded within additional paid-in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 and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 of common stock for calculating basic and diluted earnings per share was calculated as follows (in millions,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3"/>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0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9"/>
              </w:rPr>
              <w:t>October 3, 2025</w:t>
            </w:r>
          </w:p>
        </w:tc>
      </w:tr>
      <w:tr>
        <w:trPr>
          <w:trHeight w:val="265"/>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diluted earnings per share of common stock</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of common stock outstanding</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r>
      <w:tr>
        <w:trPr>
          <w:trHeight w:val="24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convertible notes and warrants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89"/>
        </w:trPr>
        <w:tc>
          <w:tcPr>
            <w:tcW w:w="54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income (loss) per share of common stock attributable to ON</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 Corporation:</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2"/>
        </w:trPr>
        <w:tc>
          <w:tcPr>
            <w:tcW w:w="5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income (loss) per share of common stock is computed by dividing net income (loss) for basic earnings by the weighted-average number of shares of common stock outstanding during the period. To calculate the diluted weighted-average shares of common stock outstanding, the treasury stock method has been applied to calculate the number of incremental shares from the assumed issuance of shares relating to RSUs. The excluded number of anti-dilutive share-based awards was 0.9 million and 1.0 million for the quarters ended October 2, 2026 and October 3, 2025, respectively, and 0.5 million and 2.2 million for the nine months ended October 2, 2026 and October 3, 2025, respectively, as the inclusion would have the effect of increasing the net income per common share attributable to the Company or decreasing the net loss per common share attributable to the Company.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dilutive impacts related to the 0.50% Notes, the 0% Notes, and the 2031 0% Notes (collectively, the "Convertible Notes") have been calculated using the if-converted method for the quarters and nine months ended October 2, 2026 and October 3, 2025. The Convertible Notes are repayable in cash up to the par value and in cash or shares of common stock for the excess over par value. Prior to conversion, the convertible note hedges are not considered for purposes of the earnings per share calculations as their effect would be anti-dilutive. Upon conversion, the convertible note hedges are expected to offset the dilutive effect of the Convertible Notes when the stock price is above the applicable conversion price, as shown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0.50% Notes</w:t>
            </w:r>
          </w:p>
        </w:tc>
        <w:tc>
          <w:tcPr>
            <w:tcW w:w="4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 Notes</w:t>
            </w:r>
          </w:p>
        </w:tc>
        <w:tc>
          <w:tcPr>
            <w:tcW w:w="48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0% Notes</w:t>
            </w:r>
          </w:p>
        </w:tc>
        <w:tc>
          <w:tcPr>
            <w:tcW w:w="48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dilutive impact of the warrants issued concurrently with the issuance of the Convertible Notes has been included in the calculation of diluted weighted-average common shares outstanding, if applicable. The warrants become dilutive when the stock price exceeds the applicable exercise price, as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0.50% Notes</w:t>
            </w:r>
          </w:p>
        </w:tc>
        <w:tc>
          <w:tcPr>
            <w:tcW w:w="48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 Notes</w:t>
            </w:r>
          </w:p>
        </w:tc>
        <w:tc>
          <w:tcPr>
            <w:tcW w:w="48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0% Notes</w:t>
            </w:r>
          </w:p>
        </w:tc>
        <w:tc>
          <w:tcPr>
            <w:tcW w:w="48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2023, the Board of Directors approved a share repurchase program (the "Share Repurchase Program") under which the Company could repurchase up to an aggregate of $3.0 billion (exclusive of fees, commissions and other expenses) of the Company's common stock through December 31, 2025. In November 2025, the Board of Directors approved a new Share Repurchase Program (the "New Share Repurchase Program") under which the Company may repurchase up to an aggregate of $6.0 billion (exclusive of fees, commissions and other expenses) of the Company's common stock through December 31, 2028.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under the New Share Repurchase Program and the Share Repurchase Program during the quarters and nine months ended October 2,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 2025, respectively, was as follows (in millions,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3"/>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October 3, 2025</w:t>
            </w:r>
          </w:p>
        </w:tc>
      </w:tr>
      <w:tr>
        <w:trPr>
          <w:trHeight w:val="265"/>
        </w:trPr>
        <w:tc>
          <w:tcPr>
            <w:tcW w:w="5240" w:type="dxa"/>
            <w:vAlign w:val="bottom"/>
            <w:tcBorders>
              <w:top w:val="single" w:sz="8" w:color="CCEEFF"/>
              <w:bottom w:val="single" w:sz="8" w:color="CCEEFF"/>
            </w:tcBorders>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Number of repurchased shares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commissions and excise tax</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6"/>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Weighted-average purchase price per share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r>
    </w:tbl>
    <w:p>
      <w:pPr>
        <w:spacing w:after="0" w:line="287"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None of these shares had been reissued or retired as of October 2, 2026, but may be reissued later.</w:t>
      </w:r>
    </w:p>
    <w:p>
      <w:pPr>
        <w:spacing w:after="0" w:line="5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Exclusive of fees, commissions or other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 2026, the authorized amount remaining under the New Share Repurchase Program was approximately $5.3 billion.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for Restricted Stock Units Tax Withholding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remitted for employee withholding taxes during the quarters ended October 2, 2026 and October 3, 2025 were $4.8 million and $2.4 million, respectively, for which the Company withheld 0.1 million and an immaterial number of shares of common stock, respectively, that were underlying the RSUs that vested. The amounts remitted for employee withholding taxes during the nine months ended October 2, 2026 and October 3, 2025 were $52.2 million and $27.5 million, respectively, for which the Company withheld 0.7 million and 0.6 million shares of common stock, respectively, that were underlying the RSUs that vested. This tax withholding activity is separate from the Share Repurchase Program and the New Share Repurchase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 in Leshan-Phoenix Semiconductor Company Limited ("Leshan")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Leshan have been consolidated in the Company's financial statements. The Leshan non-controlling interest balance was $20.3 million as of October 2, 2026 after including its $1.7 million share of earnings for the nine months ended October 2, 2026. As of December 31, 2025, the Leshan non-controlling interest balance was $18.6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related to RSUs, stock grant awards and the ESPP was recorded within the Consolidated Statements of Operations and Comprehensive Income as follows (in millions):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3"/>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October 3, 2025</w:t>
            </w:r>
          </w:p>
        </w:tc>
      </w:tr>
      <w:tr>
        <w:trPr>
          <w:trHeight w:val="24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7"/>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43"/>
        </w:trPr>
        <w:tc>
          <w:tcPr>
            <w:tcW w:w="5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6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2, 2026, the total unrecognized expected share-based compensation expense, net of estimated forfeitures, related to non-vested RSUs with service, performance and market conditions was $174.9 million, which is expected to be recognized over a weighted-average period of 1.6 years. Upon vesting of RSUs or stock grant awards or completion of a purchase under the ESPP, new shares of common stock are issued. The annualized pre-vesting forfeiture rate for RSUs was estimated to be 8% for each of the quarters ended October 2, 2026 and October 3,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2, 2026 and December 31, 2025, there was an aggregate of 26.6 million and 28.5 million shares of common stock, respectively, available for grant under the Amended and Restated SIP.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generally vest ratably over three years for awards with service conditions and over three or five years for awards with performance, service and market conditions, or a combination thereof, and are settled in shares of common stock upon vesting. A summary of the RSU transactions for the nine months ended October 2, 2026 was as follows (in millions, except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7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14"/>
        </w:trPr>
        <w:tc>
          <w:tcPr>
            <w:tcW w:w="79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23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at December 31, 2025</w:t>
            </w: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Achieved</w:t>
            </w: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tcPr>
          <w:p>
            <w:pPr>
              <w:jc w:val="center"/>
              <w:ind w:left="95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center"/>
              <w:ind w:left="95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0" w:type="dxa"/>
            <w:vAlign w:val="bottom"/>
          </w:tcPr>
          <w:p>
            <w:pPr>
              <w:spacing w:after="0"/>
              <w:rPr>
                <w:sz w:val="1"/>
                <w:szCs w:val="1"/>
                <w:color w:val="auto"/>
              </w:rPr>
            </w:pP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at October 2, 2026</w:t>
            </w:r>
          </w:p>
        </w:tc>
        <w:tc>
          <w:tcPr>
            <w:tcW w:w="1440" w:type="dxa"/>
            <w:vAlign w:val="bottom"/>
            <w:tcBorders>
              <w:bottom w:val="single" w:sz="8" w:color="auto"/>
            </w:tcBorders>
          </w:tcPr>
          <w:p>
            <w:pPr>
              <w:jc w:val="center"/>
              <w:ind w:left="971"/>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Contingencies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encountered and dealt with a number of environmental issues over time relating to the various locations where it conducts its operations and has incurred certain costs related to clean-up activities and environmental remediation efforts. In certain instances, the Company has been indemnified for such costs, often from third parties who were the prior owners of such facilities. Any costs to the Company in connection with such environmental matters have generally not been, and based on the information available, are not expected to be material.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Contingencies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or other guarantee instruments to certain parties initiated by either the Company or its subsidiaries, as required for transactions, including, but not limited to, material purchase commitments, agreements to mitigate collection risk, leases, utilities arrangements and/or customs guarantees. The Revolving Credit Facility includes $25.0 million available for the issuance of letters of credit, of which $1.9 million was outstanding as of October 2, 2026, which reduced the borrowing capacity under such facility. As of October 2, 2026, the Company also had outstanding guarantees and letters of credit outside of its Revolving Credit Facility totaling $6.9 million.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obtaining financing in the ordinary course of business, the Company issued guarantees related to certain of its subsidiaries, which totaled $1.9 million as of October 2, 2026. Based on historical experience and information currently available, the Company believes that it will not be required to make payments under the standby letters of credit or guarantee arrangements for the foreseeable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Contingencies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a variety of agreements entered into in the ordinary course of business, including acquisition agreements, pursuant to which it may be obligated to indemnify the other parties for certain liabilities that arise out of or relate to the subject matter of the agreements. Some of the agreements entered into by the Company require it to indemnify the other party against losses due to IP infringement, property damage (including environmental contamination), personal injury, failure to comply with applicable laws, the Company’s negligence or willful misconduct or breach of representations and warranties and covenants related to such matters as title to sold assets. In the case of certain acquisition agreements, these agreements may require us to maintain such indemnification provisions for the acquiree’s directors, officers and other employees and agents, in certain cases for a number of years following the acquisition.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Company’s future obligations under certain agreements may contain limitations on liability for indemnification, other agreements do not contain such limitations and under such agreements it is not possible to predict the maximum potential amount of future payments due to the conditional nature of the Company’s obligations and the unique facts and circumstances involved in each particular agreement. Historically, payments made by the Company under any of these indemnities have not had a material effect on the Company’s business, financial condition, results of operations or cash flows. Additionally, the Company does not believe that any amounts that it may be required to pay under these indemnities in the future will be material to the Company’s business, financial position,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involved in a variety of legal matters that arise in the ordinary course of business. Based on information currently available, and except as otherwise disclosed herein, the Company is not involved in any pending or threatened legal proceedings that it believes could reasonably be expected to have a material adverse effect on its financial condition, results of operations or liquidity. However, the litigation process is inherently uncertain, and the Company cannot guarantee that the outcome of any litigation matter will be favorable to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 and Derivative Litigation Concerning the Company's SiC Business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2023, a putative class action captioned Hubacek v. On Semiconductor Corp., et al., Case No. 1:23-cv-01429 (D. Del.), was filed by an alleged stockholder of the Company in the U.S. District Court for the District of Delaware against the Company and certain of its officers. This action was transferred to the U.S. District Court for the District of Arizona in March of 2024. The initial complaint asserted claims for alleged violation of Sections 10(b) and 20(a) of the Securities Exchange Act of 1934. The initial complaint alleged that the defendants made misleading statements regarding the Company's SiC business. An amended complaint was filed on May 31, 2024. The amended complaint again asserts claims for alleged violations of Sections 10(b) and 20(a) of the Securities Exchange Act of 1934. The plaintiff seeks a ruling that this case may proceed as a class action, and seeks damages, attorneys’ fees and costs. The Company filed a motion to dismiss the amended complaint on July 30, 2024. Upon reviewing the Company’s motion to dismiss the amended complaint, plaintiff deemed it necessary to further amend their complaint. On September 6, 2024, the plaintiff filed their second amended complaint. The Company filed a motion to dismiss this second amended complaint on October 10, 2024. Full briefing for this motion to dismiss the second amended complaint was completed on December 20, 2024. Oral arguments for this motion to dismiss were heard by the court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27, 2025. On July 11, 2025, the court granted the Company's motion to dismiss the plaintiff's second amended complaint without prejudice. On August 11, 2025, the plaintiff filed their third amended complaint. The Company filed a motion to dismiss this third amended complaint on September 25, 2025. Full briefing on this motion to dismiss the third amended complaint was completed on December 10, 2025. On July 23, 2026, the court granted the Company’s motion to dismiss the plaintiff’s third amended complaint with prejudice. On August 24, 2026, the plaintiff filed a Notice of Appeal to the Ninth Circuit Court of Appeals. The plaintiff’s opening appellate brief is to be filed by November 6, 2026. The Company expects briefing to be completed in the first quarter of 2027.</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 2024, a purported stockholder derivative action captioned Silva v. El-Khoury, et al., Case No. 1:24-cv-00007 (D. Del.), was filed by a purported stockholder of the Company in the U.S. District Court for the District of Delaware. On February 12, 2024, a purported stockholder derivative action captioned Smalley et al. v. El-Khoury et al. Case No. 1:24-cv-00183 (D. Del.), was filed by a purported stockholder of the Company in the U.S. District Court for the District of Delaware. Both aforementioned derivative actions, Silva and Smalley, were voluntarily dismissed without prejudice on April 15, 2024. On February 28, 2024, a purported stockholder derivative action captioned Mumme et al. v. El-Khoury et al. Case No. CV2024-003974 (D. AZ.), was filed by a purported stockholder of the Company in the Superior Court of the State of Arizona in and for the County of Maricopa. On March 15, 2024, a purported stockholder derivative action captioned Chan et al. v. Abe et al. Case No. 2:24-cv-00552 (D. AZ.), was filed by a purported stockholder of the Company in the U.S. District Court for the District of Arizona. On June 16, 2025, a purported stockholder derivative action captioned Balsam-Respler et al. v. El-Khoury et al. Case No. 2:25-cv-001672 (D. AZ.), was filed by a purported stockholder of the Company in the U.S. District Court for the District of Arizona. On September 23, 2025, the U.S. District Court for the District of Arizona consolidated the Balsam-Respler and Chan derivative complaints into a consolidated action entitled In re ON Semiconductor Corporation Stockholder Derivative Litigation, Case No. CV-24-00552 (D.AZ.). The allegations in these derivative complaints are substantially similar to the allegations in the securities class action complaint discussed above. The derivative suits purport to assert claims (1) on behalf of the Company against certain of its officers for contribution under the federal securities laws and (2) against all of the defendants for breach of fiduciary duty, aiding and abetting, unjust enrichment, abuse of control, gross mismanagement, and waste. The plaintiffs seek an award of damages, pre-judgment interest, punitive damages, attorneys’ fees, and other costs and expenses related to the litigation. The Company believes that the plaintiffs lack standing to assert claims on the Company’s behalf. These pending derivative actions were stayed by agreement, pending the resolution of Hubacek v. On Semiconductor Corp.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Matters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faces risk of exposure from claims of infringement of the IP rights of others. In the ordinary course of business, the Company receives letters asserting that the Company’s products or components breach another party’s rights. Such letters may request royalty payments from the Company, that the Company cease and desist using certain IP, and/or request other remedies.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tier level hierarchy is used to determine fair values of the financial instruments:</w:t>
      </w:r>
    </w:p>
    <w:p>
      <w:pPr>
        <w:spacing w:after="0" w:line="2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based on observable inputs that reflect quoted prices for identical assets or liabilities in active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based on inputs other than quoted prices included in Level 1 that are observable for the asset or liability either directly or indirectly.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based on the use of unobservable inputs for the assets and liabilities and other types of analyses.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which include money market funds and demand and time deposits, approximate fair value because of the short-term maturity of these instruments. Money market funds and demand deposits are classified as Level 1 while time deposits are classified as Level 2 within the fair value hierarchy. The carrying amounts of other current assets, excluding assets held-for-sale, and liabilities, such as accounts receivable and accounts payable, approximate fair value due to the short-term maturity of the amounts, and such amounts are considered Level 2 in the fair value hierarchy.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$210.0 million and $400.0 million of short-term investments in time deposits as of October 2,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connection with the Vcore acquisition in 2025, the Company is required to pay additional cash consideration upon the receipt and acceptance of specified products and the achievement of certain revenue milestones. The maximum contingent cash consideration to be distributed is $144.0 million. Contingent consideration is classified as Level 3 within the fair value hierarchy. Key unobservable inputs included the probability of completing future product milestones, the probability of achieving revenue targets, the expected timing of payments, volatility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adjusted discount rates. The contingent liability for revenue milestones was valued using Monte Carlo simulations.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contingent consideration, which will be settled in cash, has been allocated between accrued expenses and other long-term liabilities based on the expected timing of payments. Accordingly, it will be remeasured at fair value each reporting period, with changes recognized in the Consolidated Statements of Operations. The decrease in contingent consideration for the nine months ended October 2, 2026 was primarily due to payments made during the period. The fair value of the contingent consideration was as follows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October 2, 2026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w:t>
            </w:r>
          </w:p>
        </w:tc>
        <w:tc>
          <w:tcPr>
            <w:tcW w:w="2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7"/>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 including Current Portion</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carrying amounts and fair values of the Company's long-term borrowings were as follows (in millions):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72"/>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line="17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4"/>
                <w:szCs w:val="14"/>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4"/>
                <w:szCs w:val="14"/>
                <w:color w:val="auto"/>
              </w:rPr>
            </w:pPr>
          </w:p>
        </w:tc>
        <w:tc>
          <w:tcPr>
            <w:tcW w:w="136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4"/>
                <w:szCs w:val="14"/>
                <w:color w:val="auto"/>
              </w:rPr>
            </w:pPr>
          </w:p>
        </w:tc>
        <w:tc>
          <w:tcPr>
            <w:tcW w:w="118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4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0.50% Notes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1,483.5</w:t>
            </w:r>
          </w:p>
        </w:tc>
        <w:tc>
          <w:tcPr>
            <w:tcW w:w="8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2031 0% Notes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 Notes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3.875% Notes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Carrying amounts shown are net of unamortized debt discount, if applicable, and unamortized debt issuance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of the 0.50% Notes, 2031 0% Notes, 0% Notes and 3.875% Notes were estimated based on market prices in active markets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notional amounts and related fair values of the Company’s foreign currency derivative instruments in U.S. dollars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Notional or</w:t>
            </w: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Assets </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3"/>
                <w:szCs w:val="3"/>
                <w:color w:val="auto"/>
              </w:rPr>
            </w:pPr>
          </w:p>
        </w:tc>
        <w:tc>
          <w:tcPr>
            <w:tcW w:w="124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xml:space="preserve">Liabilities </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line="20" w:lineRule="exact"/>
              <w:rPr>
                <w:sz w:val="1"/>
                <w:szCs w:val="1"/>
                <w:color w:val="auto"/>
              </w:rPr>
            </w:pPr>
          </w:p>
        </w:tc>
      </w:tr>
      <w:tr>
        <w:trPr>
          <w:trHeight w:val="216"/>
        </w:trPr>
        <w:tc>
          <w:tcPr>
            <w:tcW w:w="200" w:type="dxa"/>
            <w:vAlign w:val="bottom"/>
            <w:tcBorders>
              <w:bottom w:val="single" w:sz="8" w:color="CCEEFF"/>
            </w:tcBorders>
          </w:tcPr>
          <w:p>
            <w:pPr>
              <w:spacing w:after="0"/>
              <w:rPr>
                <w:sz w:val="18"/>
                <w:szCs w:val="18"/>
                <w:color w:val="auto"/>
              </w:rPr>
            </w:pPr>
          </w:p>
        </w:tc>
        <w:tc>
          <w:tcPr>
            <w:tcW w:w="65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contractual amount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October 2, 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instruments with hedge accounting designation:</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spacing w:after="0"/>
              <w:rPr>
                <w:sz w:val="21"/>
                <w:szCs w:val="21"/>
                <w:color w:val="auto"/>
              </w:rPr>
            </w:pPr>
          </w:p>
        </w:tc>
        <w:tc>
          <w:tcPr>
            <w:tcW w:w="6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flow hedges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444.1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shd w:val="clear" w:color="auto" w:fill="CCEEFF"/>
          </w:tcPr>
          <w:p>
            <w:pPr>
              <w:spacing w:after="0"/>
              <w:rPr>
                <w:sz w:val="20"/>
                <w:szCs w:val="20"/>
                <w:color w:val="auto"/>
              </w:rPr>
            </w:pPr>
          </w:p>
        </w:tc>
        <w:tc>
          <w:tcPr>
            <w:tcW w:w="6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spacing w:after="0"/>
              <w:rPr>
                <w:sz w:val="21"/>
                <w:szCs w:val="21"/>
                <w:color w:val="auto"/>
              </w:rPr>
            </w:pP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 with hedge accounting designation:</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6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 hedges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386.7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0" w:type="dxa"/>
            <w:vAlign w:val="bottom"/>
            <w:shd w:val="clear" w:color="auto" w:fill="CCEEFF"/>
          </w:tcPr>
          <w:p>
            <w:pPr>
              <w:spacing w:after="0"/>
              <w:rPr>
                <w:sz w:val="21"/>
                <w:szCs w:val="21"/>
                <w:color w:val="auto"/>
              </w:rPr>
            </w:pP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 without hedge accounting designation:</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Borders>
              <w:bottom w:val="single" w:sz="8" w:color="CCEEFF"/>
            </w:tcBorders>
          </w:tcPr>
          <w:p>
            <w:pPr>
              <w:spacing w:after="0"/>
              <w:rPr>
                <w:sz w:val="21"/>
                <w:szCs w:val="21"/>
                <w:color w:val="auto"/>
              </w:rPr>
            </w:pPr>
          </w:p>
        </w:tc>
        <w:tc>
          <w:tcPr>
            <w:tcW w:w="6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Currency derivatives</w:t>
            </w:r>
          </w:p>
        </w:tc>
        <w:tc>
          <w:tcPr>
            <w:tcW w:w="22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20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color w:val="auto"/>
              </w:rPr>
              <w:t>(1)</w:t>
            </w:r>
          </w:p>
        </w:tc>
        <w:tc>
          <w:tcPr>
            <w:tcW w:w="65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Included in Other current assets.</w:t>
            </w: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0" w:type="dxa"/>
            <w:vAlign w:val="bottom"/>
            <w:vMerge w:val="continue"/>
          </w:tcPr>
          <w:p>
            <w:pPr>
              <w:spacing w:after="0"/>
              <w:rPr>
                <w:sz w:val="24"/>
                <w:szCs w:val="24"/>
                <w:color w:val="auto"/>
              </w:rPr>
            </w:pPr>
          </w:p>
        </w:tc>
        <w:tc>
          <w:tcPr>
            <w:tcW w:w="6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 in Accrued expenses and other current liabilities.</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Cash flow hedges and currency derivatives are measured at fair value using a discounted cash flow model based on observable forward exchange rates and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adjusted discount rates, and are classified as Level 2 fair value measurements. Gains and losses on cash flow hedges and currency derivatives were immaterial for the quarters and nine months ended October 2, 2026 and October 3,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with Hedge Accounting Designation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foreign currency cash flow hedging program to reduce the risk that its U.S. dollar net cash outflows from procurement activities will be adversely affected by fluctuations in foreign currency exchange rates. The Company enters into forward contracts (principally Philippine peso, Korean won and Czech koruna) to hedge certain portions of forecasted cash flows denominated in foreign currencies. These contracts generally mature within 18 months and are designated as cash flow hedges for accounting purposes. The Company did not identify any ineffectiveness with respect to the notional amounts of the foreign currency forward contracts effective as of October 2,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without Hedge Accounting Designation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Derivatives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2, 2026, the Company had no net outstanding foreign exchange contracts. As of December 31, 2025, the Company had net outstanding foreign exchange contracts that hedged existing assets and liabilities associated with transactions on its balance sheet, which were undesignated hedges for accounting purposes. Such contracts were obtained through financial institutions and were scheduled to mature within two months from the time of purchase.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Hedges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convertible note hedges in connection with the issuance of the 0% Notes, the 2031 0% Notes, and 0.50% Notes. See Note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for more information.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2, 2026, the Company had no outstanding commodity derivatives, currency swaps, options or equity contracts held at subsidiaries or affiliated companies. The Company does not hedge the value of its equity investments in its subsidiaries or affiliated companies.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credit-related losses if its hedge counterparties fail to perform their obligations. As of October 2, 2026, the counterparties to the Company's hedge contracts were held at financial institutions which the Company believes to be highly rated, and no credit-related losses are anticipated.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accrued related to uncertain tax positions in tax expense in the Consolidated Statements of Operations and Comprehensive Income. The Company maintains a partial valuation allowance on certain U.S. state deferred tax assets and on certain foreign net operating losses and tax credits.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quarter, the Company was under examination by the IRS for the 2022 and 2023 tax years. Subsequent to quarter-end, the IRS notified the Company that it has completed its examination. Tax years prior to 2022 are generally not subject to examination by the IRS. For state tax returns, the Company is generally not subject to income tax examinations for tax years prior to 2020. With respect to jurisdictions outside the United States, the Company is generally not subject to examination for tax years prior to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comprising accumulated other comprehensive loss and reclassifications were as follows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5"/>
                <w:szCs w:val="15"/>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Effects of Cash</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7"/>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prior to reclassifications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tcPr>
          <w:p>
            <w:pPr>
              <w:ind w:left="460"/>
              <w:spacing w:after="0" w:line="236" w:lineRule="exact"/>
              <w:rPr>
                <w:sz w:val="20"/>
                <w:szCs w:val="20"/>
                <w:color w:val="auto"/>
              </w:rPr>
            </w:pPr>
            <w:r>
              <w:rPr>
                <w:rFonts w:ascii="Times New Roman" w:cs="Times New Roman" w:eastAsia="Times New Roman" w:hAnsi="Times New Roman"/>
                <w:sz w:val="18"/>
                <w:szCs w:val="18"/>
                <w:color w:val="auto"/>
              </w:rPr>
              <w:t xml:space="preserve">Net current period other comprehensive loss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2,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Effects of cash flow hedges were net of tax impact of $0.5 million for the nine months ended October 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5, 2026, the Company completed the acquisition of Silver Atena GmbH ("Silver Atena"). Silver Atena adds specialized systems engineering and application expertise that expands the Company’s capabilities in developing system platforms and integrated customer solutions. The total purchase consideration was $52.2 million in cash, subject to customary purchase price adjustments. Due to the timing of the transaction, the Company has not yet completed the initial accounting for the business combination, including the determination of the acquisition-date fair values of the assets acquired and liabilities assumed. The related purchase accounting and required disclosures will be included in the Company’s consolidated financial statements as of and for the year ended December 31, 2026.</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 2026, the Company entered into a definitive agreement to acquire Ferric, Inc., ("Ferric") which is expected to expand the Company’s power management portfolio with advanced integrated voltage regulator technology designed to improve compute performance, energy efficiency and system footprint. The base purchase consideration is approximately $600.0 million in cash, subject to customary adjustments, with potential additional consideration of up to $175.0 million based on the achievement of specified revenue targets through 2029. The transaction is expected to close in the fourth quarter of 2026, subject to the satisfaction of customary closing conditions. Upon closing, assuming it takes place during the fourth quarter of 2026, the related purchase accounting and required disclosures will be included in the Company’s consolidated financial statements as of and for the year ended December 31, 2026.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audited historical consolidated financial statements, which are included in the 2025 Form 10-K, and our unaudited consolidated financial statements for the fiscal quarter ended October 2, 2026, which are included elsewhere in this Form 10-Q. This Management's Discussion and Analysis of Financial Condition and Results of Operations contains statements that are forward-looking. These statements are based on expectations and assumptions as of the date of this Form 10-Q and are subject to risks, uncertainties and other factors. Actual results could differ materially because of the factors discussed below or elsewhere in this Form 10-Q. See Part II, Item 1A. "Risk Factors" of this Form 10-Q and Part I, Item 1A. "Risk Factors" of the 2025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onsemi Overview</w:t>
      </w:r>
    </w:p>
    <w:p>
      <w:pPr>
        <w:spacing w:after="0" w:line="2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Semiconductor Corporation ("onsemi," "we," "us," "our," or the "Company"), with its wholly and majority-owned subsidiaries, operates under the onsemi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The Company is organized into three operating and reportable segments: the Power Solutions Group ("PSG"), the Analog and Mixed-Signal Group ("AMG"), and the Intelligent Sensing Group ("ISG").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deliver intelligent power and intelligent sensing technologies that enable electrification, energy efficiency, safety and automation across automotive, industrial and AI data center end-markets.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automotive industry continues to evolve as a result of advancements in autonomous driving, advanced driver-assistance systems ("ADAS"), vehicle electrification and increasing electronic content across vehicle platforms. Our sensing solutions support ADAS and active safety applications, as well as the continued development of autonomous driving capabilities. Our intelligent power solutions support vehicle electrification by enabling higher power density and improved system efficiency, which can reduce cooling requirements and contribute to reductions in the size and weight of electric vehicle ("EV") systems.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industrial market, our intelligent power technologies support solar energy and industrial power applications, while our intelligent sensing technologies enable automation across factories and buildings. Our intelligent power technologies also support medical applications, including continuous glucose monitors, where power efficiency can help extend battery life. In addition, our technologies support emerging applications in robotics and humanoid systems, as well as space applications, including Low Earth Orbit ("LEO") satellites. The increasing power requirements associated with AI infrastructure also create opportunities for our technologies across the broader energy ecosystem, including energy storage systems ("ESS"), energy infrastructure and Solid State Transformers ("SSTs").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AI data center end-market, our innovative intelligent power technologies enable power density and energy efficiency in a market in which energy needs are growing rapidly, and AI data center operators are focused on reducing energy consumption. We believe we have one of the most comprehensive portfolios of products and technologies for this market to address the complete power tree from the grid to the core as power requirements of AI data center racks is expected to increase rapidly in the coming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other end-markets, we primarily serve intelligent power applications across the smartphone, client-computing and consumer electronics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are designed to improve energy efficiency and extend battery life across these applications.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Strategy Developments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increasing profitable revenue through differentiated technologies to address the high-growth megatrends in automotive, industrial, AI data center, and other markets. We continue to optimize and right-size our manufacturing footprint to align our capacity with our long-term outlook, while focusing on generating efficiencies that result in meaningful gross margin expansion and operating cash flows. We intend to achieve efficiencies in our operating and capital expenditures and invest in research and development initiatives to accelerate growth in high-margin products.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Definitive Agreement to Acquire Synaptics Incorporated</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25, 2026, we entered into an Agreement and Plan of Reorganization with Sonic Acquisition Corp. and Synaptics Incorporated ("Synaptics"), pursuant to which Synaptics will become a wholly owned subsidiary of onsemi (the "Merger"). On October 1, 2026, we entered into an Amended and Restated Agreement and Plan of Merger (the "Amended Merger Agreement") to, among other things, revise the Merger consideration to $123.00 per share in cash, without interest (the "Merger Consideration"). At the effective time of the Merger (the "Closing"), each outstanding share of Synaptics common stock, subject to limited exceptions set forth in the Amended Merger Agreement, will be converted into the right to receive the per-share Merger Consideration. The Amended Merger Agreement also provides for our assumption of certain Synaptics equity awards, subject to certain adjustments thereto in respect of, among other things, performance-based vesting conditions. Our Board of Directors unanimously approved the Amended Merger Agreement.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which is anticipated to close in mid-2027, is subject to the satisfaction or waiver of customary closing conditions, including, but not limited to, adoption of the Amended Merger Agreement by Synaptics’ stockholders, the expiration or early termination of the waiting period under the HSR Act, and other regulatory approvals under certain antitrust and foreign investment regimes, and the absence of any order, injunction or law of such jurisdictions prohibiting the Merger.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parties’ HSR notifications were filed with the FTC and DOJ on July 17, 2026. On August 12, 2026, the FTC granted early termination of the applicable waiting period under the HSR Act with respect to the Merger.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Merger Agreement contains certain termination rights for each of us and Synaptics. In certain circumstances in which the Amended Merger Agreement is terminated, Synaptics may be required to pay us a termination fee of $235.0 million, including if the Amended Merger Agreement is terminated by us due to a change of recommendation by the Synaptics Board, or by Synaptics to enter into a more favorable third-party acquisition proposal, as more fully described in the Amended Merger Agreement. In certain circumstances in which the Amended Merger Agreement is terminated due to the failure to obtain required regulatory approvals, we may be required to pay Synaptics a termination fee of $320.0 million, as more fully described in the Amended Merger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risks related to the Merger, see Part II, Item 1A. "Risk Factors" of this Form 10-Q.</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Manufacturing Realignment Program</w:t>
      </w:r>
    </w:p>
    <w:p>
      <w:pPr>
        <w:spacing w:after="0" w:line="25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During the quarter and nine months ended October 2, 2026, the Company continued to engage in additional restructuring and cost reduction initiatives under its previously disclosed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manufacturing realignment program to better align manufacturing capacity and capabilities with anticipated long-term needs.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incur total severance costs and related benefit expenses of $26.0 million related to the termination of approximately 650 employees. Of this, approximately $1.5 million and $24.2 million was recognized during the quarter and nine months ended October 2, 2026, respectively. We also recorded non-cash impairment charges of $3.3 million and $166.6 million during the quarter and nine months ended October 2, 2026, respectively, related to previous investments in manufacturing equipment at certain manufacturing facilities pursuant to held-for-sale accounting guidance. Other charges were $(0.2) million and $184.3 million for the quarter and nine months ended October 2, 2026, respectively, related to contract termination costs and other facility exit activities during the quarter ended October 2, 2026 and accelerated depreciation of leasehold improvements and accelerated amortization of ROU assets that were abandoned in connection with the 2025 and 2026 Manufacturing Realignment Programs during the nine months ended October 2, 2026. The total of the aforementioned costs was included within Restructuring, Asset Impairments and Other, Net in the Consolidated Statement of Operations.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5: ''Restructuring, Asset Impairments and Other, Net'' in the notes to our unaudited consolidated financial statements included elsewhere in this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October 2, 2026, we repurchased approximately 0.3 million shares of common stock for an aggregate purchase price of $19.9 million. During the nine months ended October 2, 2026, we repurchased approximately 9.1 million shares of common stock for an aggregate purchase price of $703.2 million. For additional information, see Note 8: ''Earnings Per Share and Equity'' in the notes to our unaudited consolidated financial statements included elsewhere in this Form 10-Q.</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October 2, 2026 compared to the Quarter Ended October 3, 2025</w:t>
      </w:r>
    </w:p>
    <w:p>
      <w:pPr>
        <w:spacing w:after="0" w:line="24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information relating to our operating results that has been derived from our unaudited consolidated financial statements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Dollar Change</w:t>
            </w:r>
          </w:p>
        </w:tc>
      </w:tr>
      <w:tr>
        <w:trPr>
          <w:trHeight w:val="240"/>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4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7"/>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7"/>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4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4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ON Semiconductor Corporation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relating to our segment results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6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140" w:type="dxa"/>
            <w:vAlign w:val="bottom"/>
          </w:tcPr>
          <w:p>
            <w:pPr>
              <w:spacing w:after="0"/>
              <w:rPr>
                <w:sz w:val="16"/>
                <w:szCs w:val="16"/>
                <w:color w:val="auto"/>
              </w:rPr>
            </w:pPr>
          </w:p>
        </w:tc>
        <w:tc>
          <w:tcPr>
            <w:tcW w:w="124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0" w:type="dxa"/>
            <w:vAlign w:val="bottom"/>
          </w:tcPr>
          <w:p>
            <w:pPr>
              <w:spacing w:after="0"/>
              <w:rPr>
                <w:sz w:val="1"/>
                <w:szCs w:val="1"/>
                <w:color w:val="auto"/>
              </w:rPr>
            </w:pPr>
          </w:p>
        </w:tc>
      </w:tr>
      <w:tr>
        <w:trPr>
          <w:trHeight w:val="214"/>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jc w:val="center"/>
              <w:ind w:right="229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Gross profit margin as a percentage of respective segment revenue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was $1,722.3 million and $1,550.9 million for the quarters ended October 2, 2026 and October 3, 2025, respectively, representing an increase of $171.4 million, or approximately 11%, year over year due to higher demand in the industrial, AI data center and other end-markets. The increase was partially offset by lower sales volume in the automotive end-market due to the reallocation of supply to the industrial and AI data center end-markets. We had one customer, a distributor, whose revenue accounted for approximately 15% and 12% of our total revenue for the quarters ended October 2, 2026 and October 3, 2025, respectively, across all reportable segments.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PSG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PSG increased by $152.3 million, or approximately 21%, for the quarter ended October 2, 2026 compared to the quarter ended October 3, 2025 due to higher demand. This was driven by an increase in revenue of $64.9 million, $71.3 million and $31.4 million in the industrial, AI data center and other end-markets, respectively, offset by a decrease of $15.3 million within the automotive end-market.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AMG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AMG increased by $14.0 million, or approximately 2%, for the quarter ended October 2, 2026 compared to the quarter ended October 3, 2025, primarily driven by an increase of $18.4 million and $43.3 million in the automotive and AI data center end-markets, respectively, due to higher demand, offset by a decrease of $41.6 million and $6.1 million within the industrial and other end-markets,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ISG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ISG increased by $5.1 million, or approximately 2%, for the quarter ended October 2, 2026 compared to the quarter ended October 3, 2025 due to increased demand. This was driven by an increase in revenue of $17.2 million and $1.6 million in the industrial and other end-markets, respectively, offset by a decrease of $13.7 million in the automotive end-market.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based on sales billed from the respective country or region, was as follows (dollars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Pr>
          <w:p>
            <w:pPr>
              <w:spacing w:after="0"/>
              <w:rPr>
                <w:sz w:val="13"/>
                <w:szCs w:val="13"/>
                <w:color w:val="auto"/>
              </w:rPr>
            </w:pPr>
          </w:p>
        </w:tc>
        <w:tc>
          <w:tcPr>
            <w:tcW w:w="18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 w:type="dxa"/>
            <w:vAlign w:val="bottom"/>
          </w:tcPr>
          <w:p>
            <w:pPr>
              <w:spacing w:after="0"/>
              <w:rPr>
                <w:sz w:val="13"/>
                <w:szCs w:val="13"/>
                <w:color w:val="auto"/>
              </w:rPr>
            </w:pPr>
          </w:p>
        </w:tc>
        <w:tc>
          <w:tcPr>
            <w:tcW w:w="1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As a % of</w:t>
            </w:r>
          </w:p>
        </w:tc>
      </w:tr>
      <w:tr>
        <w:trPr>
          <w:trHeight w:val="203"/>
        </w:trPr>
        <w:tc>
          <w:tcPr>
            <w:tcW w:w="50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0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8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8"/>
                <w:szCs w:val="18"/>
                <w:b w:val="1"/>
                <w:bCs w:val="1"/>
                <w:color w:val="auto"/>
                <w:vertAlign w:val="superscript"/>
              </w:rPr>
              <w:t>(1)</w:t>
            </w:r>
          </w:p>
        </w:tc>
      </w:tr>
      <w:tr>
        <w:trPr>
          <w:trHeight w:val="23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33.0 %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7"/>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amounts may not total due to rounding of individual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$125.8 million, or approximately 21%, to $713.0 million for the quarter ended October 2, 2026 compared to $587.2 million for the quarter ended October 3, 2025 primarily due to higher revenue, improved manufacturing utilization and favorable product mix within certain business segments, partially offset by higher prices for certain manufacturing inputs.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margin increased by 3.5 percentage points from 37.9% for the quarter ended October 3, 2025 to 41.4% for the quarter ended October 2, 2026. The increase was primarily due to improved manufacturing utilization and favorable product mix within certain business segments, partially offset by higher prices for certain manufacturing inputs.</w:t>
      </w:r>
    </w:p>
    <w:p>
      <w:pPr>
        <w:spacing w:after="0" w:line="162"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PSG gross profit increased by $129.5 million, primarily driven by higher revenue across all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markets and improved manufacturing utilization. PSG gross margin increased by 9.7 percentage points to 38.2% from 28.5%, primarily due to improved utilization and operating leverage on higher volumes along with favorable product mix during the quarter ended October 2,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AMG gross profit increased by $3.6 million and gross margin decreased by 0.6 percentage points to 50.2% from 50.8%, primarily due to unfavorable product mix.</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ISG gross profit decreased by $7.3 million and gross margin decreased 3.9 percentage points to 31.3% from 35.2%, primarily due to unfavorable product mix.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$145.0 million for the quarter ended October 2, 2026, as compared to $141.9 million for the quarter ended October 3, 2025, representing an increase of $3.1 million, or approximately 2%. The increase was primarily attributable to higher variable compensation offset by a decrease in material costs.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were $66.8 million for the quarter ended October 2, 2026, as compared to $62.8 million for the quarter ended October 3, 2025, representing an increase of $4.0 million, or approximately 6%. The increase was primarily attributable to higher variable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$107.8 million for the quarter ended October 2, 2026, as compared to $87.3 million for the quarter ended October 3, 2025, representing an increase of $20.5 million, or approximately 23%. The increase was primarily attributable to third-party acquisition costs for the proposed Synaptics acquisition and higher variable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$10.5 million for the quarter ended October 2, 2026, as compared to $11.2 million for the quarter ended October 3, 2025, representing a decrease of $0.7 million, or approximately 6%.</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Asset Impairments and Other, Net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asset impairments and other, net was $4.6 million for the quarter ended October 2, 2026, as compared to $19.6 million for the quarter ended October 3, 2025. Charges incurred for the quarter ended October 2, 2026 related to restructuring actions during the period. See Note 5: ''Restructuring, Asset Impairments and Other, Net'' in the notes to our unaudited consolidated financial statements included elsewhere in this Form 10-Q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decreased by $3.8 million to $13.9 million during the quarter ended October 2, 2026, as compared to $17.7 million during the quarter ended October 3, 2025, driven by a lower weighted-average interest rate following the repayment of our interest-bearing Revolving Credit Facility on December 31, 2025 and the issuance of our 2031 0% Notes. Our average gross long-term debt for the quarter ended October 2, 2026 was $4,461.2 million at a weighted-average interest rate of 1.2%, as compared to $3,379.9 million at a weighted-average interest rate of 2.1% for the quarter ended October 3,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decreased by $5.4 million, or approximately 24%, to $17.3 million during the quarter ended October 2, 2026 compared to $22.7 million during the quarter ended October 3, 2025. The decrease was primarily attributable to lower average balances of interest-bearing cash equivalents and short-term investments, reflecting a shift to money market funds that generate dividend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October 2, 2026, other income was $17.6 million compared to other income of $3.6 million during the quarter ended October 3, 2025, primarily due to higher dividend income from increased average money market fund balances. The immaterial gain on divestiture is included in this line for the quarter ended October 2,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$84.9 million and $17.7 million for the quarters ended October 2, 2026 and October 3, 2025, respectively, representing effective tax rates of 21.3% and 6.5%, respectively. The increase in the effective tax rate for the quarter was primarily attributable to a discrete tax benefit recognized in 2025 in connection with a return-to-provision adjustment following the finalization of our 2024 U.S. federal income tax return. The discrete benefit had a greater impact on the 2025 effective tax rate due to the lower level of pre-tax income in that period.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13: ''Income Taxes'' in the notes to the unaudited consolidated financial statements included elsewhere in this Form 10-Q.</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October 2, 2026 compared to the Nine Months Ended October 3, 2025</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information relating to our operating results that has been derived from our unaudited consolidated financial statements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Dollar Change</w:t>
            </w:r>
          </w:p>
        </w:tc>
      </w:tr>
      <w:tr>
        <w:trPr>
          <w:trHeight w:val="23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4,839.1</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4,465.3</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4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37"/>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7"/>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r>
      <w:tr>
        <w:trPr>
          <w:trHeight w:val="24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37"/>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r>
      <w:tr>
        <w:trPr>
          <w:trHeight w:val="24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62"/>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ON Semiconductor Corporation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relating to our segment results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4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Ended October 2,</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14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Ended October 3,</w:t>
            </w: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0" w:type="dxa"/>
            <w:vAlign w:val="bottom"/>
          </w:tcPr>
          <w:p>
            <w:pPr>
              <w:spacing w:after="0"/>
              <w:rPr>
                <w:sz w:val="1"/>
                <w:szCs w:val="1"/>
                <w:color w:val="auto"/>
              </w:rPr>
            </w:pPr>
          </w:p>
        </w:tc>
      </w:tr>
      <w:tr>
        <w:trPr>
          <w:trHeight w:val="214"/>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Gross profit margin as a percentage of respective segment revenue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was $4,839.1 million and $4,465.3 million for the nine months ended October 2, 2026 and October 3, 2025, respectively, representing an increase of $373.8 million, or approximately 8%, year over year due to higher demand across substantially all end-markets. We had one customer, a distributor, whose revenue accounted for approximately 14% and 13% of our total revenue for the nine months ended October 2, 2026 and October 3, 2025, respectively, across all reportable segments.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PSG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PSG increased by $374.6 million, or approximately 18%, for the nine months ended October 2, 2026 compared to the nine months ended October 3, 2025 due to higher demand. This was driven by an increase in revenue of $82.3 million, $94.7 million, $153.6 million and $44.0 million in the automotive, industrial, AI data center and other end-markets,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AMG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AMG decreased by $22.2 million, or approximately 1%, for the nine months ended October 2, 2026 compared to the nine months ended October 3, 2025, primarily driven by a decrease in revenue of $48.1 million and $57.8 million in the industrial and other end-markets, respectively, primarily due to lower demand, offset by an increase of $3.1 million and $80.6 million in the automotive and AI data center end-markets,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ISG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ISG increased by $21.4 million, or approximately 3%, for the nine months ended October 2, 2026 compared to the nine months ended October 3, 2025 due to higher demand. This was driven by an increase in revenue of $27.4 million and $6.5 million in the industrial and other end-markets, offset by a decrease of $12.5 million in the automotive end-market.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based on sales billed from the respective country or region, was as follows (dollars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6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As a % of</w:t>
            </w:r>
          </w:p>
        </w:tc>
      </w:tr>
      <w:tr>
        <w:trPr>
          <w:trHeight w:val="202"/>
        </w:trPr>
        <w:tc>
          <w:tcPr>
            <w:tcW w:w="4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24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24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8"/>
                <w:szCs w:val="18"/>
                <w:b w:val="1"/>
                <w:bCs w:val="1"/>
                <w:color w:val="auto"/>
                <w:vertAlign w:val="superscript"/>
              </w:rPr>
              <w:t>(1)</w:t>
            </w:r>
          </w:p>
        </w:tc>
      </w:tr>
      <w:tr>
        <w:trPr>
          <w:trHeight w:val="2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1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28.5 %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36"/>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4,839.1</w:t>
            </w:r>
          </w:p>
        </w:tc>
        <w:tc>
          <w:tcPr>
            <w:tcW w:w="1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4,465.3</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
        </w:trPr>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amounts may not total due to rounding of individual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$479.5 million, or approximately 33%, to $1,912.4 million for the nine months ended October 2, 2026 compared to $1,432.9 million for the nine months ended October 3, 2025 primarily due to the absence of $235.8 million of excess and obsolete inventory charges and lower write-offs of consumables and manufacturing supplies compared to the prior-year period, partially offset by higher prices for certain manufacturing inputs.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 increased by 7.4 percentage points from 32.1% for the nine months ended October 3, 2025 to 39.5% for the nine months ended October 2, 2026. The increase was primarily driven by the absence of the prior-year excess and obsolete inventory charges, lower write-offs of consumables and manufacturing supplies, improved manufacturing utilization and favorable product mix within certain business segments, partially offset by higher prices for certain manufacturing inputs.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PSG gross profit increased by $256.2 million, primarily due to higher revenue across all end-markets and improved manufacturing utilization. PSG gross margin increased by 6.7 percentage points to 31.4% from 24.7%, primarily due to lower write-offs of consumables and manufacturing supplies, improved manufacturing utilization and operating leverage from higher volumes.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AMG gross profit increased by $1.7 million, primarily driven by higher revenue in the AI data center end-market, partially offset by lower revenue in the industrial and other end-markets. AMG gross margin increased by 0.8 percentage points to 52.3% from 51.5% primarily due to favorable product mix.</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ISG gross profit increased by $221.6 million and gross margin increased to 37.3% from 5.9%, primarily due to the absence of $230.3 million of excess and obsolete inventory charges recognized in the prior-year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$430.1 million for the nine months ended October 2, 2026, as compared to $449.8 million for the nine months ended October 3, 2025, representing a decrease of $19.7 million, or approximately 4%. The decrease was primarily attributable to a decrease in material costs offset by an increase in variable compensation.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were $193.1 million for the nine months ended October 2, 2026, as compared to $194.4 million for the nine months ended October 3, 2025, representing a decrease of $1.3 million, or approximately 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$299.1 million for the nine months ended October 2, 2026, as compared to $262.9 million for the nine months ended October 3, 2025, representing an increase of $36.2 million, or approximately 14%. The increase was primarily attributable to third-party acquisition costs for the proposed Synaptics acquisition and increased variable compensation.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$31.5 million and $33.6 million for the nine months ended October 2, 2026 and October 3, 2025, respectively, representing a decrease of $2.1 million, or approximately 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Asset Impairments and Other, Net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asset impairments and other, net was $375.1 million for the nine months ended October 2, 2026, as compared to $608.1 million for the nine months ended October 3, 2025, representing a decrease of $233.0 million. Charges incurred for the nine months ended October 2, 2026 primarily relate to restructuring actions during the period. See Note 5: ''Restructuring, Asset Impairments and Other, Net'' in the notes to our unaudited consolidated financial statements included elsewhere in this Form 10-Q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decreased by $13.3 million to $40.3 million during the nine months ended October 2, 2026, as compared to $53.6 million during the nine months ended October 3, 2025, driven by a lower weighted-average interest rate following the repayment of our interest-bearing Revolving Credit Facility on December 31, 2025 and the issuance of our 2031 0% Notes. Our average gross long-term debt balance for the nine months ended October 2, 2026 was $3,721.8 million at a weighted-average interest rate of 1.4%, as compared to $3,379.9 million at a weighted-average interest rate of 2.1% for the nine months ended October 3,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decreased by $22.1 million, or approximately 30%, to $52.4 million during the nine months ended October 2, 2026, compared to $74.5 million during the nine months ended October 3, 2025. The decrease was primarily attributable to lower average balances of interest-bearing cash equivalents and short-term investments, reflecting a shift to money market funds that generate dividend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was $30.0 million for the nine months ended October 2, 2026, as compared to other income of $9.2 million for the nine months ended October 3, 2025, primarily due to higher dividend income from increased average money market fund balances. The immaterial gain on divestiture is included in this line for the nine months ended October 2,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$116.6 million and income tax benefit of $27.6 million during the nine months ended October 2, 2026 and October 3, 2025, respectively, representing effective tax rates of 18.6% and 32.2%, respectively. The change in the effective tax rate was primarily attributable to a discrete tax benefit recognized in 2025 related to a return-to-provision adjustment upon finalization of our 2024 U.S. federal income tax return. The impact of this discrete benefit on the 2025 effective tax rate was amplified by the relatively lower level of pre-tax income in that period.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13: ''Income Taxes'' in the notes to the unaudited consolidated financial statements included elsewhere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on hand, short-term investments, cash generated from operations, available borrowings under our Revolving Credit Facility as well as new debt and/or equity issuances. In the near term, we expect to fund our cash requirements by utilizing any or a combination of these principal sources. Our cash and cash equivalents and short-term investments were approximately $4.4 billion as of October 2, 2026, and the Revolving Credit Facility has approximately $1.5 billion available for future borrowings.</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Amended Merger Agreement, the Company entered into a commitment letter on October 1, 2026 with Morgan Stanley Senior Funding, Inc. ("MSSF"), which was subsequently amended and restated to include JPMorgan Chase Bank, N.A. and other banks as commitment parties thereto (collectively and together with MSSF, the "Financing Parties"), pursuant to which the Financing Parties have agreed to provide, subject to satisfaction of customary closing conditions, up to $2,450.0 million of senior secured term loan for the purpose of funding a portion of the Merger Consideration, and paying fees, costs and expenses in connection with the Merger. The transaction will be financed through a combination of cash on hand and the indebtedness to be incurred pursuant to such commitment letter. The ultimate treatment of Synaptics' existing indebtedness following the closing of the transaction is unknown at this time; however, in connection with the closing, we currently intend to cause Synaptics to redeem and/or discharge the Synaptics Senior Notes (defined below) and to repay its $350 million revolving credit facility, and we expect that holders of the Synaptics Convertible Notes (defined below) will convert such notes to receive additional cash conversion consideration based on the make-whole table contained in the indenture governing the Synaptics Convertible Notes.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require cash to: (i) fund our operating expenses, working capital requirements, outlays for strategic acquisitions and investments; (ii) service our debt, including principal and interest; (iii) incur capital expenditures; and (iv) repurchase our common stock. During the ordinary course of business, we evaluate our cash requirements and, if necessary, adjust our expenditures to reflect the current market conditions and our projected sales and demand. Future capital expenditures may be impacted by events and transactions that are not currently forecasted.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considering our anticipated funding of the pending Synaptics acquisition as described above, we believe that our cash on hand, cash generated from operations and amounts available under the Revolving Credit Facility are adequate to meet our working capital requirements and other business needs for at least the next 12 months and thereafter for the foreseeable future. We expect to fund the Synaptics acquisition through a combination of cash on hand and borrowings under the Commitment Letter.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our debt and capital structure and, when appropriate, we have completed and may in the future opportunistically undertake various measures to secure liquidity, repurchase shares of our common stock, reduce interest costs, amend, replace, renew, refinance, redeem or repurchase existing key financing arrangements and, in some cases, extend a portion of our debt maturities to continue to provide us additional operating flexibility.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flows from operating activities were $1,215.2 million and $1,205.3 million for the nine months ended October 2, 2026 and October 3, 2025, respectively. The increase of $9.9 million was primarily driven by increased net income partially offset by favorable changes in working capital, including the timing of cash receipts and payments.</w:t>
      </w:r>
    </w:p>
    <w:p>
      <w:pPr>
        <w:spacing w:after="0" w:line="162"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Net income for the nine months ended October 2, 2026 improved compared to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primarily due to lower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asset impairment and restructuring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charges, partially offset by accelerated depreciation and amortization expense for ROU assets and related improvements that were abandoned in connection with the 2025 and 2026 Manufacturing Realignment Programs.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generate positive operating cash flows depends on, among other factors, the achievement of revenue targets, management of manufacturing and operating costs and effective management of working capital. The timing of collections from customers, payments to suppliers and inventory management also significantly influence our operating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flows provided by investing activities were $144.7 million for the nine months ended October 2, 2026 and our cash flows used in investing activities were $487.8 million for the nine months ended October 3, 2025. The change of $632.5 million was primarily attributable to a decrease in capital expenditures, a decrease in purchases of short-term investments and a decrease in the payments for acquisition of a business during the nine months ended October 2, 2026. Additionally, we received $31.7 million of proceeds related to the divestiture of businesses during the nine months ended October 2, 2026. Our capital expenditures as a percentage of revenue were approximately 2%, and we expect annualized capital expenditures of approximately 2-3% of revenue for the year ended December 31,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cash flows provided by financing activities were $650.5 million for the nine months ended October 2, 2026 and our cash flows used in financing activities were $939.9 million for the nine months ended October 3, 2025. The change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$1,590.4 million was primarily attributable to the issuance of the 2031 0% Notes in the aggregate principal amount of $1.5 billion during the nine months ended October 2, 2026, along with decreased share repurchases under our New Share Repurchase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0% Notes will mature on May 1, 2027 unless earlier repurchased or redeemed by the Company or converted pursuant to their terms.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Potentially Affecting Liquidity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key factors that could adversely affect our internal and external sources of cash include, among other considerations:</w:t>
      </w:r>
    </w:p>
    <w:p>
      <w:pPr>
        <w:spacing w:after="0" w:line="252" w:lineRule="exact"/>
        <w:rPr>
          <w:sz w:val="20"/>
          <w:szCs w:val="20"/>
          <w:color w:val="auto"/>
        </w:rPr>
      </w:pPr>
    </w:p>
    <w:p>
      <w:pPr>
        <w:jc w:val="both"/>
        <w:ind w:left="340" w:hanging="251"/>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competitive pricing pressures, supply chain constraints, effective management of our manufacturing capacity, our ability to achieve further reductions in operating expenses, our ability to make progress on the achievement of our business strategy and sustainability goals, the impact of our restructuring programs on our production and cost efficiency, and our ability to make the research and development expenditures required to remain competitive in our business; and</w:t>
      </w:r>
    </w:p>
    <w:p>
      <w:pPr>
        <w:spacing w:after="0" w:line="206" w:lineRule="exact"/>
        <w:rPr>
          <w:rFonts w:ascii="Times New Roman" w:cs="Times New Roman" w:eastAsia="Times New Roman" w:hAnsi="Times New Roman"/>
          <w:sz w:val="18"/>
          <w:szCs w:val="18"/>
          <w:color w:val="auto"/>
        </w:rPr>
      </w:pPr>
    </w:p>
    <w:p>
      <w:pPr>
        <w:jc w:val="both"/>
        <w:ind w:left="340" w:hanging="251"/>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and equity capital markets could impact our ability to obtain needed financing on acceptable terms or to respond to business opportunities and developments as they arise, including interest rate fluctuations, macroeconomic conditions, sudden reductions in the general availability of lending from banks or the related increase in cost to obtain bank financing and our ability to maintain compliance with covenants under our debt agreements in effect from time to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Guarantees and Related Covenants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2, 2026, we were in compliance with the indentures relating to our 0% Notes, 2031 0% Notes, 0.50% Notes and 3.875% Notes and with covenants included in the Credit Agreement. The 0% Notes, 2031 0% Notes, 0.50% Notes and 3.875% Notes are senior to the existing and future subordinated indebtedness of onsemi and its guarantor subsidiaries, rank equally in right of payment to all of our existing and future senior debt and, as unsecured obligations, are subordinated to all of our existing and future secured debt to the extent of the assets securing such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3: ''Recent Accounting Pronouncements and Other Developments'' in the notes to the unaudited consolidated financial statements included elsewhere in this Form 10-Q and our 2025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presented in Part II, Item 7A. "Quantitative and Qualitative Disclosures About Market Risk" in the 2025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our disclosure controls and procedures (as defined in Rules 13a-15(e) and 15d-15(e) of the Exchange Act). Based upon that evaluation, our Chief Executive Officer and Chief Financial Officer concluded that, as of the end of the period covered in this report, our disclosure controls and procedures were effective to ensure that information required to be disclosed in reports filed or submitted under the Exchange Act is recorded, processed, summarized and reported within the required time periods and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fiscal quarter ended October 2, 2026.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(as defined in Exchange Act Rules 13a-15(f) and 15d-15(f)) that occurred during the fiscal quarter ended October 2, 2026 which have materially affected, or are reasonably likely to materially affect, our internal control over financial reporting.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10: ''Commitments and Contingencies'' under the heading "Legal Matters" in the notes to the consolidated unaudited financial statements included elsewhere in this Form 10-Q for additional information on our legal proceedings and related matters. See also Part I, Item 1 "Business - Government Regulation" of the 2025 Form 10-K for information on certain environmental matters.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are subject to a number of trends, risks and uncertainties. We review and, where applicable, update our risk factors each quarter. There have been no material changes from the risk factors disclosed in Part I, Item 1A of the 2025 Form 10-K, other than the addition of the following risk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the Proposed Transaction with Synaptics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Completion of the proposed transaction with Synaptics may be delayed or not occur at all for a variety of reasons, including that the Merger Agreement is terminated, and the failure to complete the Merger could adversely affect our business, results of operations, financial condition, and the market price of our common stock.</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 2026, we entered into the Amended Merger Agreement with Synaptics, pursuant to which Synaptics will become a wholly owned subsidiary of onsemi. Completion of the Merger is subject to customary closing conditions, including (1) the adoption of the Merger Agreement by the holders of a majority of the shares of Synaptics common stock outstanding and entitled to vote (the "Required Synaptics Stockholder Vote"), (2) the approval of the Merger under certain antitrust and foreign investment regimes, (3) the absence of any order, injunction or law of certain jurisdictions prohibiting the Merger, (4) the accuracy of the other party’s representations and warranties, subject to certain standards set forth in the Merger Agreement, (5) compliance in all material respects with the other party’s covenants and other obligations under the Merger Agreement, and (6) the absence of a continuing material adverse effect with respect to Synaptics. Therefore, there can be no assurance that the Merger will be completed in the expected timeframe (mid-2027), or at all. Subject to the terms and conditions of the Merger Agreement, the parties have agreed to use reasonable best efforts to take all actions reasonably necessary to consummate the Merger, including obtaining all required or necessary consents, approvals or waivers from third parties, and cooperating to obtain the regulatory approvals necessary to complete the Merger.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Merger Agreement may be terminated under certain circumstances, including (1) by either onsemi or Synaptics if the Merger is not completed by June 25, 2027, which date may be extended for up to three periods of three months each, in each case under certain circumstances (the "End Date"), (2) by either onsemi or Synaptics if any court or governmental authority of a specified jurisdiction has issued a final non-appealable order or injunction prohibiting the Merger, (3) by onsemi prior to the Required Synaptics Stockholder Vote if the Synaptics Board fails to include in its proxy statement its recommendation to its stockholders to vote in favor of the adoption of the Merger Agreement or changes its recommendation, (4) by Synaptics prior to the Required Synaptics Stockholder Vote in order to accept a Superior Proposal (as defined in the Merger Agreement) (subject to payment of a termination fee, described below),</w:t>
      </w:r>
    </w:p>
    <w:p>
      <w:pPr>
        <w:spacing w:after="0" w:line="5" w:lineRule="exact"/>
        <w:rPr>
          <w:sz w:val="20"/>
          <w:szCs w:val="20"/>
          <w:color w:val="auto"/>
        </w:rPr>
      </w:pPr>
    </w:p>
    <w:p>
      <w:pPr>
        <w:jc w:val="both"/>
        <w:ind w:firstLine="8"/>
        <w:spacing w:after="0" w:line="253" w:lineRule="auto"/>
        <w:tabs>
          <w:tab w:leader="none" w:pos="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onsemi or Synaptics if Synaptics fails to receive the Required Synaptics Stockholder Vote at its stockholder meeting (including any adjournments and postponements thereof), or (6) by either party if the other party materially breaches its covenants, or breaches its representations and warranties, in the Merger Agreement such that the applicable conditions to closing would not be satisfied, subject in certain cases to the right of the breaching party to cure the breach. onsemi and Synaptics may also terminate the Merger Agreement by mutual written consent.</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termination of the Merger Agreement, Synaptics, under specified circumstances, including termination by Synaptics to accept a Superior Proposal or by onsemi following a change in recommendation by the Synaptics Board, will be required to pay</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onsemi a termination fee of $235.0 million. Additionally, onsemi, under specified circumstances, including termination following an injunction arising in connection with certain antitrust or foreign investment laws, or failure to receive certain required regulatory approvals of specified governmental authorities by the End Date, will be required to pay Synaptics a regulatory termination fee of $320.0 million.</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Failure to complete the Merger within the expected timeframe or at all could adversely affect our business and the market price of our common stock in a number of ways, including:</w:t>
      </w:r>
    </w:p>
    <w:p>
      <w:pPr>
        <w:spacing w:after="0" w:line="1"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decline to the extent that the current market price reflects an assumption that the Merger will be consummated;</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under certain circumstances specified in the Merger Agreement, we would be required to pay a termination fee as described above;</w:t>
      </w: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expenses for professional services in connection with the Merger for which we will have received little or no benefit if the Merger is not consummated; and</w:t>
      </w: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publicity and/or reactions from our investors, employees, customers, suppliers, distributors and other business partners.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announced, the Amended Merger Agreement was entered into following Synaptics’ receipt of an unsolicited Acquisition Proposal from Cirrus Logic, Inc. Synaptics could in the future receive additional unsolicited acquisition proposals from third parties, and there can be no assurance as to how Synaptics, onsemi, any such third party or other parties may respond to any such proposals. As a result, it is possible that the Amended Merger Agreement could be terminated or revised in certain related circumstances.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Completion of the proposed Merger is subject to the satisfaction or waiver of closing conditions contained in the Merger Agreement, including certain regulatory approvals which may not be received, may take longer than expected or the receipt of which may impose conditions that are not presently anticipated or that cannot be met, and if these closing conditions are not satisfied or waived, the proposed Merger will not be completed.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consents, clearances, approvals, authorizations and declarations of non-objection, or expiration of waiting periods (or extensions thereof), from certain regulatory and governmental authorities in certain jurisdictions are included in the Merger Agreement as conditions to completing the proposed Merger. Regulatory and governmental entities may impose conditions on their respective approvals, in which case lengthy negotiations may ensue among such regulatory or governmental entities, the Company and Synaptics. Such conditions, any such negotiations and the process of obtaining such regulatory approvals, consents or clearances, including any potential changes to the terms of the Merger, could have the effect of delaying or preventing consummation of the proposed Merger.</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of the Merger Agreement, we have agreed to use our reasonable best efforts to take all actions necessary to consummate the Merger, including cooperating to obtain the regulatory approvals necessary to complete the Merger. Nonetheless, certain conditions to the completion of the pending Merger are not within our or Synaptics’s control, and we cannot predict when or if these conditions will be satisfied (or waived, as applicable). There can be no assurance that all required approvals will be obtained or that all closing conditions will otherwise be satisfied (or waived, if applicable), and, if all required approvals are obtained and all closing conditions are satisfied (or waived, if applicable), we can provide no assurance as to the terms, conditions and timing of such approvals or that the pending Merger will be completed in a timely manner or at all. Even if regulatory approvals are obtained, it is possible conditions will be imposed that could result in a material delay in, or the abandonment of, the pending Merger or otherwise have an adverse effect on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the Merger could adversely affect our business, results of operations, and financial condition.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anticipated benefits we expect from the Merger are based on projections and assumptions regarding Synaptics and our combined company’s future performance, which may not materialize as expected or which may prove to be inaccurate. In addition, Synaptics’ business may not perform as expected during the pendency of the Merger due to, among other factors, restrictions on Synaptics’ interim operations under the Merger Agreement, challenges in retaining and attracting key employees, and uncertainty in its relationships with customers, suppliers, partners and other business counterparties. Synaptics has experienced and may continue to experience departures of key employees during the pendency of the Merger. Any such developments could adversely affect the business and financial performance of the combined company and reduce or delay the anticipated benefits of the Merger.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operating results and financial condition could be adversely affected if we are unable to realize the anticipated benefits from the Merger on a timely basis, if at all, including, among other things, realizing the anticipated synergies from the Merger in the anticipated amounts or within the anticipated timeframes or cost expectations, if at all. Achieving the benefits of the Merger will depend, in part, on our ability to integrate the business and operations of Synaptics successfully and efficiently with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challenges involved in this integration, which may be complex and time-consuming, include, among others, the following:</w:t>
      </w:r>
    </w:p>
    <w:p>
      <w:pPr>
        <w:spacing w:after="0" w:line="63" w:lineRule="exact"/>
        <w:rPr>
          <w:sz w:val="20"/>
          <w:szCs w:val="20"/>
          <w:color w:val="auto"/>
        </w:rPr>
      </w:pPr>
    </w:p>
    <w:p>
      <w:pPr>
        <w:ind w:left="660" w:right="2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business disruptions, preserving customer and other important relationships of Synaptics and attracting new business and operational relationships;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integrating independent research and development and engineering teams across technologies and product platforms to enhance product development while reducing costs;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forecasting and controls, procedures and reporting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and integrating corporate, IT, finance, human resources and administrative infrastructures;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sales and marketing efforts to effectively position the combined company’s capabilities and the direction of product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Synaptics’s systems, operations and product lines;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obligations that we will have to counterparties of Synaptics that arise as a result of the change in control of Synaptics or otherwise under its commercial agreements;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employees and related HR systems and benefits, maintaining employee productivity and retaining key employees.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successfully manage these issues and the other challenges inherent in integrating a new business, then we may not achieve the anticipated benefits of the Merger on our anticipated timeframe, if at all, and our business, revenue, expenses, operating results, financial condition and stock price could be materially adversely affected.</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complete the Merger could disrupt our relationships with third parties and employees, divert management’s attention, or result in negative publicity or legal proceedings, any of which could adversely impact our operating results and ongoing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expended, and will continue to expend, significant management time and resources in an effort to complete the Merger, which may have a negative impact on our ongoing business and operations. Uncertainty regarding the outcome of the Merger and our future could disrupt our business relationships with our existing and potential customers, distributors, service providers and other business partners, who may attempt to negotiate changes in existing business relationships or consider entering into business relationships with parties other than Synaptics. Uncertainty regarding the outcome of the Merger could also adversely affect our ability to recruit and retain key personnel and other employees. The pendency of the Merger may also result in negative publicity and a negative impression of us in the financial markets, and may lead to litigation or other demands against us and our directors and officers. Even if these matters are without merit, defending against or otherwise resolving these claims can result in substantial costs and divert management time and resources. Such matters would be distracting to management and, may, in the future, require us to incur significant costs. Such matters could result in the Merger being delayed and/or enjoined by a court of competent jurisdiction, which could prevent the Merger from being completed. The occurrence of any of these events individually or in combination could have a material and adverse effect on our business, results of operations, and financial condition.</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Merger, we anticipate that the scope and size of our operations and business will substantially change and will result in certain incremental risks to us, including increased competition. We may not realize the full expected benefits of the Merger.</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anticipate that the Merger will substantially expand the scope and size of our business by adding substantial assets and operations to our existing business. Any such future growth of our business will impose significant added responsibilities on management, including, among other things, the need to identify, recruit, train and integrate additional employees. Our senior management’s attention may be diverted from the management of our business and its daily operations to the completion of the Merger and, following the closing, the integration of Synaptics’s business. Further, the Merger could also create uncertainty for our or Synaptics’s employees and customers, particularly during the post-transaction integration process. It could also disrupt existing business relationships, make it more difficult to develop new business relationships, or otherwise negatively impact the way that we operate our business.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anticipate that the Merger will result in increased competition. Synaptics operates in highly competitive segments and is facing increasing competition for its products and services. These competitive pressures may result in decreased sales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volumes, price reductions and/or increased operating costs, and could result in lower revenues, margins and net income for the combined company. The Merger could also result in our failure to realize expected synergies or cost savings. Our ability to manage our business and growth will require us to continue to improve our operational, financial and management controls, reporting systems and procedures. We may also encounter risks, costs and expenses associated with any undisclosed or other unanticipated liabilities and use more cash and other financial resources on integration and implementation activities than we expect. We may not be able to integrate the Synaptics business into our existing operations on our anticipated timelines or realize the full expected economic benefits of the Merger, which may have a material adverse effect on our business, operating results and financial condition. In addition, the completion of the Merger may heighten the potential adverse effects on our business, operating results or financial condition described in the risk factors disclosed in Part I, Item 1A of the 2025 Form 10-K.</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treatment of Synaptics’ indebtedness in connection with the Merger may involve repayment by us of substantial indebtedness, which could reduce our flexibility to operate our business and negatively affect our financial condition.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already have substantial outstanding indebtedness. For risks related to such indebtedness, see the risks set forth in "Trends, Risks and Uncertainties Related to Our Indebtedness" in the 2025 Form 10-K.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incur additional indebtedness to finance a portion of the consideration for the proposed transaction with Synaptics, which will materially increase the amount of our outstanding long-term indebtedness and could subject us to additional risks. In connection with the Amended Merger Agreement, we entered into a commitment letter on October 1, 2026 with Morgan Stanley Senior Funding, Inc. ("MSSF"), which was subsequently amended and restated to add JPMorgan Chase Bank, N.A. and other banks as commitment parties thereto (collectively and together with MSSF, the "Financing Parties"), pursuant to which the Financing Parties have agreed to provide, subject to satisfaction of customary closing conditions, up to $2,450,000,000 of senior secured term loan facilities for the purpose of funding a portion of the Merger Consideration, and paying fees, costs and expenses in connection with the Merger.</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Synaptics has outstanding 4.000% Senior Notes due 2029 (the "Synaptics Senior Notes"). At our request and at our sole cost and expense, Synaptics must use reasonable best efforts to exercise its right to redeem, discharge, defease, or make an offer to repurchase the Synaptics Senior Notes in accordance with their terms, with any such redemption, discharge, defeasance, or repurchase to be effective at the effective time of the Merger or such later time as we may request. In connection with the Merger, we currently intend to cause Synaptics to redeem and/or discharge the Synaptics Senior Notes. In addition, the Amended Merger Agreement requires Synaptics to use its reasonable best efforts to deliver to us an executed payoff letter with respect to Synaptics’ existing $350 million senior secured revolving credit facility with Wells Fargo Bank, National Association, together with all related lien release documentation necessary to effect the release of any liens related to such facility.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fund the repayment, redemption and/or discharge of Synaptics’ indebtedness will depend on, among other factors, prevailing market conditions and other factors beyond our control, and the repayment, redemption and/or discharge — or any such failure to do so — could materially and adversely affect our operations and financial condition.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Synaptics has outstanding 0.75% Convertible Senior Notes due 2031 (the "Synaptics Convertible Notes"). Following completion of the Merger, the Synaptics Convertible Notes will, pursuant to a supplemental indenture, become convertible into cash rather than shares of Synaptics common stock. As the Merger will constitute a "Make-Whole Fundamental Change" under, and as defined in, the indenture governing the Synaptics Convertible Notes (the "Synaptics Convertible Notes Indenture"), holders of the Synaptics Convertible Notes will be able to convert their Synaptics Convertible Notes during a window after the closing date of the Merger and receive additional cash conversion consideration based on the make-whole table contained in the Synaptics Convertible Notes Indenture. Any conversions of the Synaptics Convertible Notes will result in cash payments to the holders thereof, which will only be partially offset by the capped call transactions entered into by Synaptics concurrently with the issuance of the Synaptics Convertible Notes. The repayment, redemption and/or discharge of Synaptics’ existing indebtedness could have material and adverse effects on our business, operating results and financial condition, including, among other things:</w:t>
      </w:r>
    </w:p>
    <w:p>
      <w:pPr>
        <w:spacing w:after="0" w:line="2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changing economic, regulatory and industry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compete and our flexibility in planning for, or reacting to, changes in our business and the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with less indebtedness;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on hand or borrowing capacity to fund the repayment of Synaptics’ existing indebtedness, thereby reducing the availability of cash to fund our business needs;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return capital (for example, through stock repurchases or dividends) to our stockholders;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in the future to fund growth, acquisitions, working capital, capital expenditures or other purposes;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risks described under "Trends, Risks and Uncertainties Related to Our Indebtedness" in the 2025 Form 10-K.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disclosure does not constitute a notice of redemption with respect to the Synaptics Senior Notes.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as that term is defined in Section 27A of the Securities Act and Section 21E of the Exchange Act. All statements, other than statements of historical facts, included or incorporated in this Form 10-Q could be deemed forward-looking statements, particularly statements about our plans, strategies, prospects and our proposed acquisition of Synaptics and the treatment of Synaptics’ existing indebtedness following the closing of the proposed acquisition under the heading "Management’s Discussion and Analysis of Financial Condition and Results of Operations." Forward-looking statements are often characterized by the use of words such as "believes," "estimates," "expects," "projects," "may," "will," "intends," "plans," "anticipates," "should" or similar expressions, or by discussions of strategy, plans or intentions. All forward-looking statements in this Form 10-Q are made based on our current expectations, forecasts, estimates and assumptions and involve risks, uncertainties and other factors that could cause results or events to differ materially from those expressed in the forward-looking statements.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that could cause our actual results to differ materially from those anticipated in the forward-looking statements are described under Part I, Item 1A "Risk Factors" in the 2025 Form 10-K, under Part II, Item 1A. "Risk Factors" and elsewhere in this Form 10-Q and from time to time in our other SEC reports. Readers are cautioned not to place undue reliance on forward-looking statements. We assume no obligation to update such information, which speaks only as of the date made, except as may be required by law. Investing in our securities involves a high degree of risk and uncertainty, and you should carefully consider the trends, risks and uncertainties described in the aforementioned reports and subsequent reports filed with or furnished to the SEC before making any investment decision with respect to our securities. The risk factors described in this Form 10-Q and in our 2025 Form 10-K are not all of the risks we may face. Other risks not presently known to us or that we currently believe are immaterial may materially affect our business. If any of the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quarter ended October 2, 2026:</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21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Period </w:t>
            </w:r>
            <w:r>
              <w:rPr>
                <w:rFonts w:ascii="Times New Roman" w:cs="Times New Roman" w:eastAsia="Times New Roman" w:hAnsi="Times New Roman"/>
                <w:sz w:val="23"/>
                <w:szCs w:val="23"/>
                <w:b w:val="1"/>
                <w:bCs w:val="1"/>
                <w:color w:val="auto"/>
                <w:vertAlign w:val="superscript"/>
              </w:rPr>
              <w:t>(1)</w:t>
            </w:r>
          </w:p>
        </w:tc>
        <w:tc>
          <w:tcPr>
            <w:tcW w:w="100" w:type="dxa"/>
            <w:vAlign w:val="bottom"/>
            <w:vMerge w:val="restart"/>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 Programs (in</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 ($)</w:t>
            </w:r>
          </w:p>
        </w:tc>
        <w:tc>
          <w:tcPr>
            <w:tcW w:w="8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millions) ($)</w:t>
            </w:r>
          </w:p>
        </w:tc>
        <w:tc>
          <w:tcPr>
            <w:tcW w:w="0" w:type="dxa"/>
            <w:vAlign w:val="bottom"/>
          </w:tcPr>
          <w:p>
            <w:pPr>
              <w:spacing w:after="0"/>
              <w:rPr>
                <w:sz w:val="1"/>
                <w:szCs w:val="1"/>
                <w:color w:val="auto"/>
              </w:rPr>
            </w:pPr>
          </w:p>
        </w:tc>
      </w:tr>
      <w:tr>
        <w:trPr>
          <w:trHeight w:val="23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July 4, 2026 - July 31, 2026</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5,322.4</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August 1, 2026 - August 28,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5,311.1</w:t>
            </w:r>
          </w:p>
        </w:tc>
        <w:tc>
          <w:tcPr>
            <w:tcW w:w="0" w:type="dxa"/>
            <w:vAlign w:val="bottom"/>
          </w:tcPr>
          <w:p>
            <w:pPr>
              <w:spacing w:after="0"/>
              <w:rPr>
                <w:sz w:val="1"/>
                <w:szCs w:val="1"/>
                <w:color w:val="auto"/>
              </w:rPr>
            </w:pPr>
          </w:p>
        </w:tc>
      </w:tr>
      <w:tr>
        <w:trPr>
          <w:trHeight w:val="24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August 29, 2026 - October 2,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5,302.5</w:t>
            </w:r>
          </w:p>
        </w:tc>
        <w:tc>
          <w:tcPr>
            <w:tcW w:w="0" w:type="dxa"/>
            <w:vAlign w:val="bottom"/>
          </w:tcPr>
          <w:p>
            <w:pPr>
              <w:spacing w:after="0"/>
              <w:rPr>
                <w:sz w:val="1"/>
                <w:szCs w:val="1"/>
                <w:color w:val="auto"/>
              </w:rPr>
            </w:pPr>
          </w:p>
        </w:tc>
      </w:tr>
      <w:tr>
        <w:trPr>
          <w:trHeight w:val="237"/>
        </w:trPr>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272,132</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80" w:type="dxa"/>
            <w:vAlign w:val="bottom"/>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time periods represent our fiscal month start and end dates for the third quarter of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withheld to satisfy statutory tax withholding requirements related to the vesting of share-based awards are not issued or considered repurchases of our common stock under our New Share Repurchase Program and, therefore, are excluded from the table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Share Repurchase Program</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2025, the Board of Directors approved a new Share Repurchase Program (the "New Share Repurchase Program") under which the Company may repurchase up to an aggregate of $6.0 billion of the Company's common stock (exclusive of fees, commissions and other expenses). Under the New Share Repurchase Program, which does not require the Company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purchase any minimum amount of common stock or at all, the Company may repurchase shares from January 1, 2026 through December 31, 2028. The New Share Repurchase Program may be modified, suspended or terminated by the Board of Directors at any time without prior notice.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0.3 million shares of the Company's common stock under the New Share Repurchase Program during the quarter ended October 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 2026, the authorized amount remaining under the New Share Repurchase Program was approximately $5.3 billion.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October 2, 2026, none of our directors or officers (as defined in Rule 16a-1(f) of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32</w:t>
      </w: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101.INS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101.SCH</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101.CAL</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101.DEF</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101.LAB</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101.PRE</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Description</w:t>
      </w:r>
      <w:r>
        <w:rPr>
          <w:rFonts w:ascii="Times New Roman" w:cs="Times New Roman" w:eastAsia="Times New Roman" w:hAnsi="Times New Roman"/>
          <w:sz w:val="23"/>
          <w:szCs w:val="23"/>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60178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24" w:lineRule="exact"/>
        <w:rPr>
          <w:sz w:val="20"/>
          <w:szCs w:val="20"/>
          <w:color w:val="auto"/>
        </w:rPr>
      </w:pPr>
    </w:p>
    <w:p>
      <w:pPr>
        <w:ind w:right="400"/>
        <w:spacing w:after="0" w:line="232" w:lineRule="auto"/>
        <w:rPr>
          <w:rFonts w:ascii="Times New Roman" w:cs="Times New Roman" w:eastAsia="Times New Roman" w:hAnsi="Times New Roman"/>
          <w:sz w:val="17"/>
          <w:szCs w:val="17"/>
          <w:u w:val="single" w:color="auto"/>
          <w:color w:val="0000FF"/>
        </w:rPr>
      </w:pPr>
      <w:hyperlink r:id="rId65">
        <w:r>
          <w:rPr>
            <w:rFonts w:ascii="Times New Roman" w:cs="Times New Roman" w:eastAsia="Times New Roman" w:hAnsi="Times New Roman"/>
            <w:sz w:val="17"/>
            <w:szCs w:val="17"/>
            <w:u w:val="single" w:color="auto"/>
            <w:color w:val="0000FF"/>
          </w:rPr>
          <w:t>Amended and Restated Agreement and Plan of Merger, dated as of October 1, 2026, by and among ON Semiconductor</w:t>
        </w:r>
      </w:hyperlink>
      <w:r>
        <w:rPr>
          <w:rFonts w:ascii="Times New Roman" w:cs="Times New Roman" w:eastAsia="Times New Roman" w:hAnsi="Times New Roman"/>
          <w:sz w:val="17"/>
          <w:szCs w:val="17"/>
          <w:u w:val="single" w:color="auto"/>
          <w:color w:val="0000FF"/>
        </w:rPr>
        <w:t xml:space="preserve"> </w:t>
      </w:r>
      <w:hyperlink r:id="rId65">
        <w:r>
          <w:rPr>
            <w:rFonts w:ascii="Times New Roman" w:cs="Times New Roman" w:eastAsia="Times New Roman" w:hAnsi="Times New Roman"/>
            <w:sz w:val="17"/>
            <w:szCs w:val="17"/>
            <w:u w:val="single" w:color="auto"/>
            <w:color w:val="0000FF"/>
          </w:rPr>
          <w:t>Corporation, Sonic Acquisition Corp. and Synaptics Incorporated (incorporated by reference to Exhibit 2.1 to the Company's</w:t>
        </w:r>
      </w:hyperlink>
    </w:p>
    <w:p>
      <w:pPr>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Current Report on Form 8-K dated October 1, 2026) †</w:t>
        </w:r>
      </w:hyperlink>
    </w:p>
    <w:p>
      <w:pPr>
        <w:spacing w:after="0" w:line="70"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7"/>
          <w:szCs w:val="17"/>
          <w:u w:val="single" w:color="auto"/>
          <w:color w:val="0000FF"/>
        </w:rPr>
        <w:t>$2,450,000,000 Senior Secured Term Loan Facilities Second Amended and Restated Commitment Letter, dated as of October 19, 2026, by and among ON Semiconductor Corporation, Morgan Stanley Senior Funding, Inc., JPMorgan Chase Bank, N.A. and</w:t>
      </w:r>
    </w:p>
    <w:p>
      <w:pPr>
        <w:spacing w:after="0" w:line="221" w:lineRule="auto"/>
        <w:rPr>
          <w:sz w:val="20"/>
          <w:szCs w:val="20"/>
          <w:color w:val="auto"/>
        </w:rPr>
      </w:pPr>
      <w:r>
        <w:rPr>
          <w:rFonts w:ascii="Times New Roman" w:cs="Times New Roman" w:eastAsia="Times New Roman" w:hAnsi="Times New Roman"/>
          <w:sz w:val="18"/>
          <w:szCs w:val="18"/>
          <w:u w:val="single" w:color="auto"/>
          <w:color w:val="0000FF"/>
        </w:rPr>
        <w:t xml:space="preserve">other commitment parties party thereto </w:t>
      </w:r>
      <w:r>
        <w:rPr>
          <w:rFonts w:ascii="Times New Roman" w:cs="Times New Roman" w:eastAsia="Times New Roman" w:hAnsi="Times New Roman"/>
          <w:sz w:val="23"/>
          <w:szCs w:val="23"/>
          <w:u w:val="single" w:color="auto"/>
          <w:color w:val="0000FF"/>
          <w:vertAlign w:val="superscript"/>
        </w:rPr>
        <w:t>(1)</w:t>
      </w:r>
    </w:p>
    <w:p>
      <w:pPr>
        <w:spacing w:after="0" w:line="63"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u w:val="single" w:color="auto"/>
          <w:color w:val="0000FF"/>
        </w:rPr>
        <w:t xml:space="preserve">Certification by CEO pursuant to Rule 13(a)-14(a) or 15d-14(a) of the Securities Exchange Act of 1934, as adopted pursuant to Section 302 of Sarbanes-Oxley Act of 2002 </w:t>
      </w:r>
      <w:r>
        <w:rPr>
          <w:rFonts w:ascii="Times New Roman" w:cs="Times New Roman" w:eastAsia="Times New Roman" w:hAnsi="Times New Roman"/>
          <w:sz w:val="23"/>
          <w:szCs w:val="23"/>
          <w:u w:val="single" w:color="auto"/>
          <w:color w:val="0000FF"/>
          <w:vertAlign w:val="superscript"/>
        </w:rPr>
        <w:t>(1)</w:t>
      </w:r>
    </w:p>
    <w:p>
      <w:pPr>
        <w:spacing w:after="0" w:line="77"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u w:val="single" w:color="auto"/>
          <w:color w:val="0000FF"/>
        </w:rPr>
        <w:t xml:space="preserve">Certification by CFO pursuant to Rule 13(a)-14(a) or 15d-14(a) of the Securities Exchange Act of 1934, as adopted pursuant to Section 302 of Sarbanes-Oxley Act of 2002 </w:t>
      </w:r>
      <w:r>
        <w:rPr>
          <w:rFonts w:ascii="Times New Roman" w:cs="Times New Roman" w:eastAsia="Times New Roman" w:hAnsi="Times New Roman"/>
          <w:sz w:val="23"/>
          <w:szCs w:val="23"/>
          <w:u w:val="single" w:color="auto"/>
          <w:color w:val="0000FF"/>
          <w:vertAlign w:val="superscript"/>
        </w:rPr>
        <w:t>(1)</w:t>
      </w:r>
    </w:p>
    <w:p>
      <w:pPr>
        <w:spacing w:after="0" w:line="118"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u w:val="single" w:color="auto"/>
          <w:color w:val="0000FF"/>
        </w:rPr>
        <w:t xml:space="preserve">Certification by CEO and CFO pursuant to 18 U.S.C. Section 1350, as adopted pursuant to Section 906 of the Sarbanes-Oxley Act of 2002 </w:t>
      </w:r>
      <w:r>
        <w:rPr>
          <w:rFonts w:ascii="Times New Roman" w:cs="Times New Roman" w:eastAsia="Times New Roman" w:hAnsi="Times New Roman"/>
          <w:sz w:val="23"/>
          <w:szCs w:val="23"/>
          <w:u w:val="single" w:color="auto"/>
          <w:color w:val="0000FF"/>
          <w:vertAlign w:val="superscript"/>
        </w:rPr>
        <w:t>(2)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Instance Document </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Schema Document </w:t>
      </w:r>
      <w:r>
        <w:rPr>
          <w:rFonts w:ascii="Times New Roman" w:cs="Times New Roman" w:eastAsia="Times New Roman" w:hAnsi="Times New Roman"/>
          <w:sz w:val="23"/>
          <w:szCs w:val="23"/>
          <w:color w:val="auto"/>
          <w:vertAlign w:val="superscript"/>
        </w:rPr>
        <w:t>(1)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Calculation Linkbase Document </w:t>
      </w:r>
      <w:r>
        <w:rPr>
          <w:rFonts w:ascii="Times New Roman" w:cs="Times New Roman" w:eastAsia="Times New Roman" w:hAnsi="Times New Roman"/>
          <w:sz w:val="23"/>
          <w:szCs w:val="23"/>
          <w:color w:val="auto"/>
          <w:vertAlign w:val="superscript"/>
        </w:rPr>
        <w:t>(1)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Definition Linkbase Document </w:t>
      </w:r>
      <w:r>
        <w:rPr>
          <w:rFonts w:ascii="Times New Roman" w:cs="Times New Roman" w:eastAsia="Times New Roman" w:hAnsi="Times New Roman"/>
          <w:sz w:val="23"/>
          <w:szCs w:val="23"/>
          <w:color w:val="auto"/>
          <w:vertAlign w:val="superscript"/>
        </w:rPr>
        <w:t>(1)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Label Linkbase Document </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Presentation Linkbase Document </w:t>
      </w:r>
      <w:r>
        <w:rPr>
          <w:rFonts w:ascii="Times New Roman" w:cs="Times New Roman" w:eastAsia="Times New Roman" w:hAnsi="Times New Roman"/>
          <w:sz w:val="23"/>
          <w:szCs w:val="23"/>
          <w:color w:val="auto"/>
          <w:vertAlign w:val="superscript"/>
        </w:rPr>
        <w:t>(1)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195" w:lineRule="exact"/>
        <w:rPr>
          <w:sz w:val="20"/>
          <w:szCs w:val="20"/>
          <w:color w:val="auto"/>
        </w:rPr>
      </w:pPr>
    </w:p>
    <w:p>
      <w:pPr>
        <w:sectPr>
          <w:pgSz w:w="11900" w:h="16838" w:orient="portrait"/>
          <w:cols w:equalWidth="0" w:num="2">
            <w:col w:w="1280" w:space="480"/>
            <w:col w:w="9400"/>
          </w:cols>
          <w:pgMar w:left="320" w:top="526" w:right="419" w:bottom="1440" w:gutter="0" w:footer="0" w:header="0"/>
        </w:sectPr>
      </w:pPr>
    </w:p>
    <w:p>
      <w:pPr>
        <w:ind w:left="380" w:hanging="212"/>
        <w:spacing w:after="0"/>
        <w:tabs>
          <w:tab w:leader="none" w:pos="38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Reports filed under the Exchange Act (Form 10-K, Form 10-Q and Form 8-K) are filed under File No. 000-30419 and File No. 001-39317.</w:t>
      </w:r>
    </w:p>
    <w:p>
      <w:pPr>
        <w:spacing w:after="0" w:line="87" w:lineRule="exact"/>
        <w:rPr>
          <w:sz w:val="20"/>
          <w:szCs w:val="20"/>
          <w:color w:val="auto"/>
        </w:rPr>
      </w:pPr>
    </w:p>
    <w:p>
      <w:pPr>
        <w:ind w:left="380" w:hanging="251"/>
        <w:spacing w:after="0"/>
        <w:tabs>
          <w:tab w:leader="none" w:pos="38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Filed herewith.</w:t>
      </w:r>
    </w:p>
    <w:p>
      <w:pPr>
        <w:spacing w:after="0" w:line="28" w:lineRule="exact"/>
        <w:rPr>
          <w:rFonts w:ascii="Times New Roman" w:cs="Times New Roman" w:eastAsia="Times New Roman" w:hAnsi="Times New Roman"/>
          <w:sz w:val="23"/>
          <w:szCs w:val="23"/>
          <w:color w:val="auto"/>
          <w:vertAlign w:val="superscript"/>
        </w:rPr>
      </w:pPr>
    </w:p>
    <w:p>
      <w:pPr>
        <w:ind w:left="380" w:hanging="251"/>
        <w:spacing w:after="0" w:line="194" w:lineRule="auto"/>
        <w:tabs>
          <w:tab w:leader="none" w:pos="38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Furnished herewith.</w:t>
      </w:r>
    </w:p>
    <w:p>
      <w:pPr>
        <w:spacing w:after="0" w:line="29" w:lineRule="exact"/>
        <w:rPr>
          <w:sz w:val="20"/>
          <w:szCs w:val="20"/>
          <w:color w:val="auto"/>
        </w:rPr>
      </w:pPr>
    </w:p>
    <w:p>
      <w:pPr>
        <w:ind w:left="380" w:right="20" w:hanging="228"/>
        <w:spacing w:after="0" w:line="22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registrant hereby undertakes to furnish supplementally a copy of any omitted schedule upon request by the SEC.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6" w:right="41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 SEMICONDUCTOR CORPORATION</w:t>
      </w: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97" w:lineRule="exact"/>
        <w:rPr>
          <w:sz w:val="20"/>
          <w:szCs w:val="20"/>
          <w:color w:val="auto"/>
        </w:rPr>
      </w:pPr>
    </w:p>
    <w:p>
      <w:pPr>
        <w:ind w:left="240"/>
        <w:spacing w:after="0"/>
        <w:tabs>
          <w:tab w:leader="none" w:pos="4920" w:val="left"/>
          <w:tab w:leader="none" w:pos="540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3574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Thad Trent</w:t>
      </w:r>
    </w:p>
    <w:p>
      <w:pPr>
        <w:spacing w:after="0" w:line="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 and officer duly authorized</w:t>
      </w:r>
    </w:p>
    <w:p>
      <w:pPr>
        <w:ind w:left="5420"/>
        <w:spacing w:after="0"/>
        <w:rPr>
          <w:sz w:val="20"/>
          <w:szCs w:val="20"/>
          <w:color w:val="auto"/>
        </w:rPr>
      </w:pPr>
      <w:r>
        <w:rPr>
          <w:rFonts w:ascii="Times New Roman" w:cs="Times New Roman" w:eastAsia="Times New Roman" w:hAnsi="Times New Roman"/>
          <w:sz w:val="18"/>
          <w:szCs w:val="18"/>
          <w:b w:val="1"/>
          <w:bCs w:val="1"/>
          <w:color w:val="auto"/>
        </w:rPr>
        <w:t>to sign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526"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62"/>
        </w:trPr>
        <w:tc>
          <w:tcPr>
            <w:tcW w:w="37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tc>
        <w:tc>
          <w:tcPr>
            <w:tcW w:w="0" w:type="dxa"/>
            <w:vAlign w:val="bottom"/>
          </w:tcPr>
          <w:p>
            <w:pPr>
              <w:spacing w:after="0"/>
              <w:rPr>
                <w:sz w:val="1"/>
                <w:szCs w:val="1"/>
                <w:color w:val="auto"/>
              </w:rPr>
            </w:pPr>
          </w:p>
        </w:tc>
      </w:tr>
      <w:tr>
        <w:trPr>
          <w:trHeight w:val="750"/>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MORGAN STANLEY SENIOR</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JPMORGAN CHASE BANK, N.A.</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BANK OF AMERICA, N.A.</w:t>
            </w:r>
          </w:p>
        </w:tc>
        <w:tc>
          <w:tcPr>
            <w:tcW w:w="0" w:type="dxa"/>
            <w:vAlign w:val="bottom"/>
          </w:tcPr>
          <w:p>
            <w:pPr>
              <w:spacing w:after="0"/>
              <w:rPr>
                <w:sz w:val="1"/>
                <w:szCs w:val="1"/>
                <w:color w:val="auto"/>
              </w:rPr>
            </w:pPr>
          </w:p>
        </w:tc>
      </w:tr>
      <w:tr>
        <w:trPr>
          <w:trHeight w:val="247"/>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FUNDING,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270 Park Avenue</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One Bryant Park</w:t>
            </w:r>
          </w:p>
        </w:tc>
        <w:tc>
          <w:tcPr>
            <w:tcW w:w="0" w:type="dxa"/>
            <w:vAlign w:val="bottom"/>
          </w:tcPr>
          <w:p>
            <w:pPr>
              <w:spacing w:after="0"/>
              <w:rPr>
                <w:sz w:val="1"/>
                <w:szCs w:val="1"/>
                <w:color w:val="auto"/>
              </w:rPr>
            </w:pPr>
          </w:p>
        </w:tc>
      </w:tr>
      <w:tr>
        <w:trPr>
          <w:trHeight w:val="229"/>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1585 Broadway</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10017</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10036</w:t>
            </w:r>
          </w:p>
        </w:tc>
        <w:tc>
          <w:tcPr>
            <w:tcW w:w="0" w:type="dxa"/>
            <w:vAlign w:val="bottom"/>
          </w:tcPr>
          <w:p>
            <w:pPr>
              <w:spacing w:after="0"/>
              <w:rPr>
                <w:sz w:val="1"/>
                <w:szCs w:val="1"/>
                <w:color w:val="auto"/>
              </w:rPr>
            </w:pPr>
          </w:p>
        </w:tc>
      </w:tr>
      <w:tr>
        <w:trPr>
          <w:trHeight w:val="258"/>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10036</w:t>
            </w:r>
          </w:p>
        </w:tc>
        <w:tc>
          <w:tcPr>
            <w:tcW w:w="37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HSBC BANK USA, NATIONAL</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CITIGROUP GLOBAL MARKETS INC.</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CRÉDIT AGRICOLE CORPORATE</w:t>
            </w:r>
          </w:p>
        </w:tc>
        <w:tc>
          <w:tcPr>
            <w:tcW w:w="0" w:type="dxa"/>
            <w:vAlign w:val="bottom"/>
          </w:tcPr>
          <w:p>
            <w:pPr>
              <w:spacing w:after="0"/>
              <w:rPr>
                <w:sz w:val="1"/>
                <w:szCs w:val="1"/>
                <w:color w:val="auto"/>
              </w:rPr>
            </w:pPr>
          </w:p>
        </w:tc>
      </w:tr>
      <w:tr>
        <w:trPr>
          <w:trHeight w:val="243"/>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ASSOCIATION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388 Greenwich Street</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AND INVESTMENT BANK</w:t>
            </w: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HSBC SECURITIES (USA)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10013</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1301 Avenue of the Americas</w:t>
            </w:r>
          </w:p>
        </w:tc>
        <w:tc>
          <w:tcPr>
            <w:tcW w:w="0" w:type="dxa"/>
            <w:vAlign w:val="bottom"/>
          </w:tcPr>
          <w:p>
            <w:pPr>
              <w:spacing w:after="0"/>
              <w:rPr>
                <w:sz w:val="1"/>
                <w:szCs w:val="1"/>
                <w:color w:val="auto"/>
              </w:rPr>
            </w:pPr>
          </w:p>
        </w:tc>
      </w:tr>
      <w:tr>
        <w:trPr>
          <w:trHeight w:val="243"/>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66 Hudson Blvd E</w:t>
            </w:r>
          </w:p>
        </w:tc>
        <w:tc>
          <w:tcPr>
            <w:tcW w:w="3760" w:type="dxa"/>
            <w:vAlign w:val="bottom"/>
          </w:tcPr>
          <w:p>
            <w:pPr>
              <w:spacing w:after="0"/>
              <w:rPr>
                <w:sz w:val="21"/>
                <w:szCs w:val="21"/>
                <w:color w:val="auto"/>
              </w:rPr>
            </w:pP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10019</w:t>
            </w:r>
          </w:p>
        </w:tc>
        <w:tc>
          <w:tcPr>
            <w:tcW w:w="0" w:type="dxa"/>
            <w:vAlign w:val="bottom"/>
          </w:tcPr>
          <w:p>
            <w:pPr>
              <w:spacing w:after="0"/>
              <w:rPr>
                <w:sz w:val="1"/>
                <w:szCs w:val="1"/>
                <w:color w:val="auto"/>
              </w:rPr>
            </w:pPr>
          </w:p>
        </w:tc>
      </w:tr>
      <w:tr>
        <w:trPr>
          <w:trHeight w:val="239"/>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10001</w:t>
            </w:r>
          </w:p>
        </w:tc>
        <w:tc>
          <w:tcPr>
            <w:tcW w:w="3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HSBC BANK PLC</w:t>
            </w:r>
          </w:p>
        </w:tc>
        <w:tc>
          <w:tcPr>
            <w:tcW w:w="3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 Canada Square</w:t>
            </w:r>
          </w:p>
        </w:tc>
        <w:tc>
          <w:tcPr>
            <w:tcW w:w="37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Canary Wharf London, E14 5HQ</w:t>
            </w:r>
          </w:p>
        </w:tc>
        <w:tc>
          <w:tcPr>
            <w:tcW w:w="37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PNC BANK, NATIONAL</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BMO CAPITAL MARKETS CORP.</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SUMITOMO MITSUI BANKING</w:t>
            </w:r>
          </w:p>
        </w:tc>
        <w:tc>
          <w:tcPr>
            <w:tcW w:w="0" w:type="dxa"/>
            <w:vAlign w:val="bottom"/>
          </w:tcPr>
          <w:p>
            <w:pPr>
              <w:spacing w:after="0"/>
              <w:rPr>
                <w:sz w:val="1"/>
                <w:szCs w:val="1"/>
                <w:color w:val="auto"/>
              </w:rPr>
            </w:pPr>
          </w:p>
        </w:tc>
      </w:tr>
      <w:tr>
        <w:trPr>
          <w:trHeight w:val="243"/>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ASSOCIATION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BMO BANK, N.A.</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CORPORATION</w:t>
            </w:r>
          </w:p>
        </w:tc>
        <w:tc>
          <w:tcPr>
            <w:tcW w:w="0" w:type="dxa"/>
            <w:vAlign w:val="bottom"/>
          </w:tcPr>
          <w:p>
            <w:pPr>
              <w:spacing w:after="0"/>
              <w:rPr>
                <w:sz w:val="1"/>
                <w:szCs w:val="1"/>
                <w:color w:val="auto"/>
              </w:rPr>
            </w:pPr>
          </w:p>
        </w:tc>
      </w:tr>
      <w:tr>
        <w:trPr>
          <w:trHeight w:val="233"/>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PNC CAPITAL MARKETS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BANK OF MONTREAL</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6"/>
              </w:rPr>
              <w:t>277 Park Avenue</w:t>
            </w:r>
          </w:p>
        </w:tc>
        <w:tc>
          <w:tcPr>
            <w:tcW w:w="0" w:type="dxa"/>
            <w:vAlign w:val="bottom"/>
          </w:tcPr>
          <w:p>
            <w:pPr>
              <w:spacing w:after="0"/>
              <w:rPr>
                <w:sz w:val="1"/>
                <w:szCs w:val="1"/>
                <w:color w:val="auto"/>
              </w:rPr>
            </w:pPr>
          </w:p>
        </w:tc>
      </w:tr>
      <w:tr>
        <w:trPr>
          <w:trHeight w:val="243"/>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300 Fifth Avenue,</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151 West 42nd Street</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10172</w:t>
            </w:r>
          </w:p>
        </w:tc>
        <w:tc>
          <w:tcPr>
            <w:tcW w:w="0" w:type="dxa"/>
            <w:vAlign w:val="bottom"/>
          </w:tcPr>
          <w:p>
            <w:pPr>
              <w:spacing w:after="0"/>
              <w:rPr>
                <w:sz w:val="1"/>
                <w:szCs w:val="1"/>
                <w:color w:val="auto"/>
              </w:rPr>
            </w:pPr>
          </w:p>
        </w:tc>
      </w:tr>
      <w:tr>
        <w:trPr>
          <w:trHeight w:val="258"/>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Pittsburgh, Pennsylvania 15222</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10036</w:t>
            </w:r>
          </w:p>
        </w:tc>
        <w:tc>
          <w:tcPr>
            <w:tcW w:w="2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ROYAL BANK OF CANADA</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TRUIST BANK</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KBC BANK N.V., NEW YORK BRANCH</w:t>
            </w:r>
          </w:p>
        </w:tc>
        <w:tc>
          <w:tcPr>
            <w:tcW w:w="0" w:type="dxa"/>
            <w:vAlign w:val="bottom"/>
          </w:tcPr>
          <w:p>
            <w:pPr>
              <w:spacing w:after="0"/>
              <w:rPr>
                <w:sz w:val="1"/>
                <w:szCs w:val="1"/>
                <w:color w:val="auto"/>
              </w:rPr>
            </w:pPr>
          </w:p>
        </w:tc>
      </w:tr>
      <w:tr>
        <w:trPr>
          <w:trHeight w:val="247"/>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200 Vesey Street</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TRUIST SECURITIES, INC.</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1177 Avenue of the Americas</w:t>
            </w:r>
          </w:p>
        </w:tc>
        <w:tc>
          <w:tcPr>
            <w:tcW w:w="0" w:type="dxa"/>
            <w:vAlign w:val="bottom"/>
          </w:tcPr>
          <w:p>
            <w:pPr>
              <w:spacing w:after="0"/>
              <w:rPr>
                <w:sz w:val="1"/>
                <w:szCs w:val="1"/>
                <w:color w:val="auto"/>
              </w:rPr>
            </w:pPr>
          </w:p>
        </w:tc>
      </w:tr>
      <w:tr>
        <w:trPr>
          <w:trHeight w:val="230"/>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10281</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740 Battery Ave. SE</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10036</w:t>
            </w: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2"/>
                <w:szCs w:val="22"/>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Atlanta, Georgia 30339</w:t>
            </w:r>
          </w:p>
        </w:tc>
        <w:tc>
          <w:tcPr>
            <w:tcW w:w="2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STANDARD CHARTERED BANK</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BARCLAYS</w:t>
            </w:r>
          </w:p>
        </w:tc>
        <w:tc>
          <w:tcPr>
            <w:tcW w:w="2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 Bryant Park</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745 Seventh Avenue</w:t>
            </w:r>
          </w:p>
        </w:tc>
        <w:tc>
          <w:tcPr>
            <w:tcW w:w="2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10036</w:t>
            </w: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New York, New York 10019</w:t>
            </w:r>
          </w:p>
        </w:tc>
        <w:tc>
          <w:tcPr>
            <w:tcW w:w="2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8"/>
        </w:trPr>
        <w:tc>
          <w:tcPr>
            <w:tcW w:w="3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CONFIDENTIAL</w:t>
            </w:r>
          </w:p>
        </w:tc>
        <w:tc>
          <w:tcPr>
            <w:tcW w:w="0" w:type="dxa"/>
            <w:vAlign w:val="bottom"/>
          </w:tcPr>
          <w:p>
            <w:pPr>
              <w:spacing w:after="0"/>
              <w:rPr>
                <w:sz w:val="1"/>
                <w:szCs w:val="1"/>
                <w:color w:val="auto"/>
              </w:rPr>
            </w:pPr>
          </w:p>
        </w:tc>
      </w:tr>
      <w:tr>
        <w:trPr>
          <w:trHeight w:val="513"/>
        </w:trPr>
        <w:tc>
          <w:tcPr>
            <w:tcW w:w="3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ON Semiconductor Corporation</w:t>
            </w:r>
          </w:p>
        </w:tc>
        <w:tc>
          <w:tcPr>
            <w:tcW w:w="3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October 19, 2026</w:t>
            </w:r>
          </w:p>
        </w:tc>
        <w:tc>
          <w:tcPr>
            <w:tcW w:w="0" w:type="dxa"/>
            <w:vAlign w:val="bottom"/>
          </w:tcPr>
          <w:p>
            <w:pPr>
              <w:spacing w:after="0"/>
              <w:rPr>
                <w:sz w:val="1"/>
                <w:szCs w:val="1"/>
                <w:color w:val="auto"/>
              </w:rPr>
            </w:pPr>
          </w:p>
        </w:tc>
      </w:tr>
      <w:tr>
        <w:trPr>
          <w:trHeight w:val="214"/>
        </w:trPr>
        <w:tc>
          <w:tcPr>
            <w:tcW w:w="3720" w:type="dxa"/>
            <w:vAlign w:val="bottom"/>
            <w:vMerge w:val="continue"/>
          </w:tcPr>
          <w:p>
            <w:pPr>
              <w:spacing w:after="0"/>
              <w:rPr>
                <w:sz w:val="18"/>
                <w:szCs w:val="18"/>
                <w:color w:val="auto"/>
              </w:rPr>
            </w:pPr>
          </w:p>
        </w:tc>
        <w:tc>
          <w:tcPr>
            <w:tcW w:w="3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5701 N. Pima Road</w:t>
            </w:r>
          </w:p>
        </w:tc>
        <w:tc>
          <w:tcPr>
            <w:tcW w:w="37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Scottsdale, Arizona 85250</w:t>
            </w:r>
          </w:p>
        </w:tc>
        <w:tc>
          <w:tcPr>
            <w:tcW w:w="3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72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Attn: Mr. Thad Trent, Chief Financial Officer</w:t>
            </w:r>
          </w:p>
        </w:tc>
        <w:tc>
          <w:tcPr>
            <w:tcW w:w="37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Project Sonic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$2.45 Billion Senior Secured Term Loan Facilities</w:t>
      </w:r>
    </w:p>
    <w:p>
      <w:pPr>
        <w:jc w:val="center"/>
        <w:spacing w:after="0"/>
        <w:rPr>
          <w:sz w:val="20"/>
          <w:szCs w:val="20"/>
          <w:color w:val="auto"/>
        </w:rPr>
      </w:pPr>
      <w:r>
        <w:rPr>
          <w:rFonts w:ascii="Times New Roman" w:cs="Times New Roman" w:eastAsia="Times New Roman" w:hAnsi="Times New Roman"/>
          <w:sz w:val="20"/>
          <w:szCs w:val="20"/>
          <w:u w:val="single" w:color="auto"/>
          <w:color w:val="auto"/>
        </w:rPr>
        <w:t>Second Amended and Restated Commitment Letter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Reference is made to that certain Commitment Letter, dated as of October 1, 2026 (the “</w:t>
      </w:r>
      <w:r>
        <w:rPr>
          <w:rFonts w:ascii="Times New Roman" w:cs="Times New Roman" w:eastAsia="Times New Roman" w:hAnsi="Times New Roman"/>
          <w:sz w:val="20"/>
          <w:szCs w:val="20"/>
          <w:u w:val="single" w:color="auto"/>
          <w:color w:val="auto"/>
        </w:rPr>
        <w:t>Original Commitment Letter</w:t>
      </w:r>
      <w:r>
        <w:rPr>
          <w:rFonts w:ascii="Times New Roman" w:cs="Times New Roman" w:eastAsia="Times New Roman" w:hAnsi="Times New Roman"/>
          <w:sz w:val="20"/>
          <w:szCs w:val="20"/>
          <w:color w:val="auto"/>
        </w:rPr>
        <w:t>” and such date, the “</w:t>
      </w:r>
      <w:r>
        <w:rPr>
          <w:rFonts w:ascii="Times New Roman" w:cs="Times New Roman" w:eastAsia="Times New Roman" w:hAnsi="Times New Roman"/>
          <w:sz w:val="20"/>
          <w:szCs w:val="20"/>
          <w:u w:val="single" w:color="auto"/>
          <w:color w:val="auto"/>
        </w:rPr>
        <w:t>Original Signing Date</w:t>
      </w:r>
      <w:r>
        <w:rPr>
          <w:rFonts w:ascii="Times New Roman" w:cs="Times New Roman" w:eastAsia="Times New Roman" w:hAnsi="Times New Roman"/>
          <w:sz w:val="20"/>
          <w:szCs w:val="20"/>
          <w:color w:val="auto"/>
        </w:rPr>
        <w:t>”), between MSSF (as defined below) and</w:t>
      </w:r>
    </w:p>
    <w:p>
      <w:pPr>
        <w:sectPr>
          <w:pgSz w:w="11900" w:h="16838" w:orient="portrait"/>
          <w:cols w:equalWidth="0" w:num="1">
            <w:col w:w="11240"/>
          </w:cols>
          <w:pgMar w:left="320" w:top="1409"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20"/>
          <w:szCs w:val="20"/>
          <w:color w:val="auto"/>
        </w:rPr>
        <w:t>you, as amended and restated by that certain Amended and Restated Commitment Letter, dated as of October 7, 2026 (the “</w:t>
      </w:r>
      <w:r>
        <w:rPr>
          <w:rFonts w:ascii="Times New Roman" w:cs="Times New Roman" w:eastAsia="Times New Roman" w:hAnsi="Times New Roman"/>
          <w:sz w:val="20"/>
          <w:szCs w:val="20"/>
          <w:u w:val="single" w:color="auto"/>
          <w:color w:val="auto"/>
        </w:rPr>
        <w:t>First Amended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Restated Commitment Letter</w:t>
      </w:r>
      <w:r>
        <w:rPr>
          <w:rFonts w:ascii="Times New Roman" w:cs="Times New Roman" w:eastAsia="Times New Roman" w:hAnsi="Times New Roman"/>
          <w:sz w:val="20"/>
          <w:szCs w:val="20"/>
          <w:color w:val="auto"/>
        </w:rPr>
        <w:t>” and such date, the “</w:t>
      </w:r>
      <w:r>
        <w:rPr>
          <w:rFonts w:ascii="Times New Roman" w:cs="Times New Roman" w:eastAsia="Times New Roman" w:hAnsi="Times New Roman"/>
          <w:sz w:val="20"/>
          <w:szCs w:val="20"/>
          <w:u w:val="single" w:color="auto"/>
          <w:color w:val="auto"/>
        </w:rPr>
        <w:t>First Amendment and Restatement Date</w:t>
      </w:r>
      <w:r>
        <w:rPr>
          <w:rFonts w:ascii="Times New Roman" w:cs="Times New Roman" w:eastAsia="Times New Roman" w:hAnsi="Times New Roman"/>
          <w:sz w:val="20"/>
          <w:szCs w:val="20"/>
          <w:color w:val="auto"/>
        </w:rPr>
        <w:t xml:space="preserve">”), among MSSF, JPMCB (as defined below) and you. The First Amended and Restated Commitment Letter is hereby amended, restated and superseded in its entirety as follows;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to the contrary herein, MSSF shall be entitled to the benefits of the indemnification and expense reimbursement provisions of this Second Amended and Restated Commitment Letter, together with all Exhibits hereto (this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Letter</w:t>
      </w:r>
      <w:r>
        <w:rPr>
          <w:rFonts w:ascii="Times New Roman" w:cs="Times New Roman" w:eastAsia="Times New Roman" w:hAnsi="Times New Roman"/>
          <w:sz w:val="20"/>
          <w:szCs w:val="20"/>
          <w:color w:val="auto"/>
        </w:rPr>
        <w:t>”) as if they were in effect on the Original Signing Date and MSSF and JPMCB shall be entitled to the benefits of the indemnification and expense reimbursement provisions of this Commitment Letter as if they were in effect on the First Amendment and Restatement Date.</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Semiconductor Corporation,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 has advised Morgan Stanley Senior Funding, Inc. (together with its designated affiliates, “</w:t>
      </w:r>
      <w:r>
        <w:rPr>
          <w:rFonts w:ascii="Times New Roman" w:cs="Times New Roman" w:eastAsia="Times New Roman" w:hAnsi="Times New Roman"/>
          <w:sz w:val="20"/>
          <w:szCs w:val="20"/>
          <w:u w:val="single" w:color="auto"/>
          <w:color w:val="auto"/>
        </w:rPr>
        <w:t>MSSF</w:t>
      </w:r>
      <w:r>
        <w:rPr>
          <w:rFonts w:ascii="Times New Roman" w:cs="Times New Roman" w:eastAsia="Times New Roman" w:hAnsi="Times New Roman"/>
          <w:sz w:val="20"/>
          <w:szCs w:val="20"/>
          <w:color w:val="auto"/>
        </w:rPr>
        <w:t>”), JPMorgan Chase Bank, N.A. (“</w:t>
      </w:r>
      <w:r>
        <w:rPr>
          <w:rFonts w:ascii="Times New Roman" w:cs="Times New Roman" w:eastAsia="Times New Roman" w:hAnsi="Times New Roman"/>
          <w:sz w:val="20"/>
          <w:szCs w:val="20"/>
          <w:u w:val="single" w:color="auto"/>
          <w:color w:val="auto"/>
        </w:rPr>
        <w:t>JPMCB</w:t>
      </w:r>
      <w:r>
        <w:rPr>
          <w:rFonts w:ascii="Times New Roman" w:cs="Times New Roman" w:eastAsia="Times New Roman" w:hAnsi="Times New Roman"/>
          <w:sz w:val="20"/>
          <w:szCs w:val="20"/>
          <w:color w:val="auto"/>
        </w:rPr>
        <w:t>”), Bank of America, N.A. (“</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HSBC Securities (USA) Inc. (“</w:t>
      </w:r>
      <w:r>
        <w:rPr>
          <w:rFonts w:ascii="Times New Roman" w:cs="Times New Roman" w:eastAsia="Times New Roman" w:hAnsi="Times New Roman"/>
          <w:sz w:val="20"/>
          <w:szCs w:val="20"/>
          <w:u w:val="single" w:color="auto"/>
          <w:color w:val="auto"/>
        </w:rPr>
        <w:t>HSBC Securities</w:t>
      </w:r>
      <w:r>
        <w:rPr>
          <w:rFonts w:ascii="Times New Roman" w:cs="Times New Roman" w:eastAsia="Times New Roman" w:hAnsi="Times New Roman"/>
          <w:sz w:val="20"/>
          <w:szCs w:val="20"/>
          <w:color w:val="auto"/>
        </w:rPr>
        <w:t>”), HSBC Bank USA, National Association (“</w:t>
      </w:r>
      <w:r>
        <w:rPr>
          <w:rFonts w:ascii="Times New Roman" w:cs="Times New Roman" w:eastAsia="Times New Roman" w:hAnsi="Times New Roman"/>
          <w:sz w:val="20"/>
          <w:szCs w:val="20"/>
          <w:u w:val="single" w:color="auto"/>
          <w:color w:val="auto"/>
        </w:rPr>
        <w:t>HSBC Bank USA</w:t>
      </w:r>
      <w:r>
        <w:rPr>
          <w:rFonts w:ascii="Times New Roman" w:cs="Times New Roman" w:eastAsia="Times New Roman" w:hAnsi="Times New Roman"/>
          <w:sz w:val="20"/>
          <w:szCs w:val="20"/>
          <w:color w:val="auto"/>
        </w:rPr>
        <w:t>”), HSBC Bank Plc (“</w:t>
      </w:r>
      <w:r>
        <w:rPr>
          <w:rFonts w:ascii="Times New Roman" w:cs="Times New Roman" w:eastAsia="Times New Roman" w:hAnsi="Times New Roman"/>
          <w:sz w:val="20"/>
          <w:szCs w:val="20"/>
          <w:u w:val="single" w:color="auto"/>
          <w:color w:val="auto"/>
        </w:rPr>
        <w:t>HSBC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Bank UK</w:t>
      </w:r>
      <w:r>
        <w:rPr>
          <w:rFonts w:ascii="Times New Roman" w:cs="Times New Roman" w:eastAsia="Times New Roman" w:hAnsi="Times New Roman"/>
          <w:sz w:val="20"/>
          <w:szCs w:val="20"/>
          <w:color w:val="auto"/>
        </w:rPr>
        <w:t>”), Citi (as defined below), Crédit Agricole Corporate and Investment Bank (“</w:t>
      </w:r>
      <w:r>
        <w:rPr>
          <w:rFonts w:ascii="Times New Roman" w:cs="Times New Roman" w:eastAsia="Times New Roman" w:hAnsi="Times New Roman"/>
          <w:sz w:val="20"/>
          <w:szCs w:val="20"/>
          <w:u w:val="single" w:color="auto"/>
          <w:color w:val="auto"/>
        </w:rPr>
        <w:t>Credit Agricole</w:t>
      </w:r>
      <w:r>
        <w:rPr>
          <w:rFonts w:ascii="Times New Roman" w:cs="Times New Roman" w:eastAsia="Times New Roman" w:hAnsi="Times New Roman"/>
          <w:sz w:val="20"/>
          <w:szCs w:val="20"/>
          <w:color w:val="auto"/>
        </w:rPr>
        <w:t>”), PNC Bank, National Association (“</w:t>
      </w:r>
      <w:r>
        <w:rPr>
          <w:rFonts w:ascii="Times New Roman" w:cs="Times New Roman" w:eastAsia="Times New Roman" w:hAnsi="Times New Roman"/>
          <w:sz w:val="20"/>
          <w:szCs w:val="20"/>
          <w:u w:val="single" w:color="auto"/>
          <w:color w:val="auto"/>
        </w:rPr>
        <w:t>PNC Bank</w:t>
      </w:r>
      <w:r>
        <w:rPr>
          <w:rFonts w:ascii="Times New Roman" w:cs="Times New Roman" w:eastAsia="Times New Roman" w:hAnsi="Times New Roman"/>
          <w:sz w:val="20"/>
          <w:szCs w:val="20"/>
          <w:color w:val="auto"/>
        </w:rPr>
        <w:t>”), PNC Capital Markets LLC (“</w:t>
      </w:r>
      <w:r>
        <w:rPr>
          <w:rFonts w:ascii="Times New Roman" w:cs="Times New Roman" w:eastAsia="Times New Roman" w:hAnsi="Times New Roman"/>
          <w:sz w:val="20"/>
          <w:szCs w:val="20"/>
          <w:u w:val="single" w:color="auto"/>
          <w:color w:val="auto"/>
        </w:rPr>
        <w:t>PNC Capital Markets</w:t>
      </w:r>
      <w:r>
        <w:rPr>
          <w:rFonts w:ascii="Times New Roman" w:cs="Times New Roman" w:eastAsia="Times New Roman" w:hAnsi="Times New Roman"/>
          <w:sz w:val="20"/>
          <w:szCs w:val="20"/>
          <w:color w:val="auto"/>
        </w:rPr>
        <w:t>”), BMO Capital Markets Corp. (“</w:t>
      </w:r>
      <w:r>
        <w:rPr>
          <w:rFonts w:ascii="Times New Roman" w:cs="Times New Roman" w:eastAsia="Times New Roman" w:hAnsi="Times New Roman"/>
          <w:sz w:val="20"/>
          <w:szCs w:val="20"/>
          <w:u w:val="single" w:color="auto"/>
          <w:color w:val="auto"/>
        </w:rPr>
        <w:t>BMOCM</w:t>
      </w:r>
      <w:r>
        <w:rPr>
          <w:rFonts w:ascii="Times New Roman" w:cs="Times New Roman" w:eastAsia="Times New Roman" w:hAnsi="Times New Roman"/>
          <w:sz w:val="20"/>
          <w:szCs w:val="20"/>
          <w:color w:val="auto"/>
        </w:rPr>
        <w:t>”), BMO Bank, N.A. (acting through such of its affiliates or branches as it deems appropriate, “</w:t>
      </w:r>
      <w:r>
        <w:rPr>
          <w:rFonts w:ascii="Times New Roman" w:cs="Times New Roman" w:eastAsia="Times New Roman" w:hAnsi="Times New Roman"/>
          <w:sz w:val="20"/>
          <w:szCs w:val="20"/>
          <w:u w:val="single" w:color="auto"/>
          <w:color w:val="auto"/>
        </w:rPr>
        <w:t>BMO Bank</w:t>
      </w:r>
      <w:r>
        <w:rPr>
          <w:rFonts w:ascii="Times New Roman" w:cs="Times New Roman" w:eastAsia="Times New Roman" w:hAnsi="Times New Roman"/>
          <w:sz w:val="20"/>
          <w:szCs w:val="20"/>
          <w:color w:val="auto"/>
        </w:rPr>
        <w:t>”), Bank of Montreal (“</w:t>
      </w:r>
      <w:r>
        <w:rPr>
          <w:rFonts w:ascii="Times New Roman" w:cs="Times New Roman" w:eastAsia="Times New Roman" w:hAnsi="Times New Roman"/>
          <w:sz w:val="20"/>
          <w:szCs w:val="20"/>
          <w:u w:val="single" w:color="auto"/>
          <w:color w:val="auto"/>
        </w:rPr>
        <w:t>Bank of Montreal</w:t>
      </w:r>
      <w:r>
        <w:rPr>
          <w:rFonts w:ascii="Times New Roman" w:cs="Times New Roman" w:eastAsia="Times New Roman" w:hAnsi="Times New Roman"/>
          <w:sz w:val="20"/>
          <w:szCs w:val="20"/>
          <w:color w:val="auto"/>
        </w:rPr>
        <w:t>”), Sumitomo Mitsui Banking Corporation (“</w:t>
      </w:r>
      <w:r>
        <w:rPr>
          <w:rFonts w:ascii="Times New Roman" w:cs="Times New Roman" w:eastAsia="Times New Roman" w:hAnsi="Times New Roman"/>
          <w:sz w:val="20"/>
          <w:szCs w:val="20"/>
          <w:u w:val="single" w:color="auto"/>
          <w:color w:val="auto"/>
        </w:rPr>
        <w:t>SMBC</w:t>
      </w:r>
      <w:r>
        <w:rPr>
          <w:rFonts w:ascii="Times New Roman" w:cs="Times New Roman" w:eastAsia="Times New Roman" w:hAnsi="Times New Roman"/>
          <w:sz w:val="20"/>
          <w:szCs w:val="20"/>
          <w:color w:val="auto"/>
        </w:rPr>
        <w:t>”), Royal Bank of Canada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RBC</w:t>
      </w:r>
      <w:r>
        <w:rPr>
          <w:rFonts w:ascii="Times New Roman" w:cs="Times New Roman" w:eastAsia="Times New Roman" w:hAnsi="Times New Roman"/>
          <w:sz w:val="20"/>
          <w:szCs w:val="20"/>
          <w:color w:val="auto"/>
        </w:rPr>
        <w:t>”), Truist Securities, Inc. (“</w:t>
      </w:r>
      <w:r>
        <w:rPr>
          <w:rFonts w:ascii="Times New Roman" w:cs="Times New Roman" w:eastAsia="Times New Roman" w:hAnsi="Times New Roman"/>
          <w:sz w:val="20"/>
          <w:szCs w:val="20"/>
          <w:u w:val="single" w:color="auto"/>
          <w:color w:val="auto"/>
        </w:rPr>
        <w:t>Truist Securities</w:t>
      </w:r>
      <w:r>
        <w:rPr>
          <w:rFonts w:ascii="Times New Roman" w:cs="Times New Roman" w:eastAsia="Times New Roman" w:hAnsi="Times New Roman"/>
          <w:sz w:val="20"/>
          <w:szCs w:val="20"/>
          <w:color w:val="auto"/>
        </w:rPr>
        <w:t>”), Truist Bank (“</w:t>
      </w:r>
      <w:r>
        <w:rPr>
          <w:rFonts w:ascii="Times New Roman" w:cs="Times New Roman" w:eastAsia="Times New Roman" w:hAnsi="Times New Roman"/>
          <w:sz w:val="20"/>
          <w:szCs w:val="20"/>
          <w:u w:val="single" w:color="auto"/>
          <w:color w:val="auto"/>
        </w:rPr>
        <w:t>Truist Bank</w:t>
      </w:r>
      <w:r>
        <w:rPr>
          <w:rFonts w:ascii="Times New Roman" w:cs="Times New Roman" w:eastAsia="Times New Roman" w:hAnsi="Times New Roman"/>
          <w:sz w:val="20"/>
          <w:szCs w:val="20"/>
          <w:color w:val="auto"/>
        </w:rPr>
        <w:t>” and, together with Truist Securities, “</w:t>
      </w:r>
      <w:r>
        <w:rPr>
          <w:rFonts w:ascii="Times New Roman" w:cs="Times New Roman" w:eastAsia="Times New Roman" w:hAnsi="Times New Roman"/>
          <w:sz w:val="20"/>
          <w:szCs w:val="20"/>
          <w:u w:val="single" w:color="auto"/>
          <w:color w:val="auto"/>
        </w:rPr>
        <w:t>Truist</w:t>
      </w:r>
      <w:r>
        <w:rPr>
          <w:rFonts w:ascii="Times New Roman" w:cs="Times New Roman" w:eastAsia="Times New Roman" w:hAnsi="Times New Roman"/>
          <w:sz w:val="20"/>
          <w:szCs w:val="20"/>
          <w:color w:val="auto"/>
        </w:rPr>
        <w:t>”), KBC Bank N.V., New York Branch (“</w:t>
      </w:r>
      <w:r>
        <w:rPr>
          <w:rFonts w:ascii="Times New Roman" w:cs="Times New Roman" w:eastAsia="Times New Roman" w:hAnsi="Times New Roman"/>
          <w:sz w:val="20"/>
          <w:szCs w:val="20"/>
          <w:u w:val="single" w:color="auto"/>
          <w:color w:val="auto"/>
        </w:rPr>
        <w:t>KBC</w:t>
      </w:r>
      <w:r>
        <w:rPr>
          <w:rFonts w:ascii="Times New Roman" w:cs="Times New Roman" w:eastAsia="Times New Roman" w:hAnsi="Times New Roman"/>
          <w:sz w:val="20"/>
          <w:szCs w:val="20"/>
          <w:color w:val="auto"/>
        </w:rPr>
        <w:t>”), Standard Chartered Bank (“</w:t>
      </w:r>
      <w:r>
        <w:rPr>
          <w:rFonts w:ascii="Times New Roman" w:cs="Times New Roman" w:eastAsia="Times New Roman" w:hAnsi="Times New Roman"/>
          <w:sz w:val="20"/>
          <w:szCs w:val="20"/>
          <w:u w:val="single" w:color="auto"/>
          <w:color w:val="auto"/>
        </w:rPr>
        <w:t>SC</w:t>
      </w:r>
      <w:r>
        <w:rPr>
          <w:rFonts w:ascii="Times New Roman" w:cs="Times New Roman" w:eastAsia="Times New Roman" w:hAnsi="Times New Roman"/>
          <w:sz w:val="20"/>
          <w:szCs w:val="20"/>
          <w:color w:val="auto"/>
        </w:rPr>
        <w:t>”) and Barclays Bank PLC (“</w:t>
      </w:r>
      <w:r>
        <w:rPr>
          <w:rFonts w:ascii="Times New Roman" w:cs="Times New Roman" w:eastAsia="Times New Roman" w:hAnsi="Times New Roman"/>
          <w:sz w:val="20"/>
          <w:szCs w:val="20"/>
          <w:u w:val="single" w:color="auto"/>
          <w:color w:val="auto"/>
        </w:rPr>
        <w:t>Barclays</w:t>
      </w:r>
      <w:r>
        <w:rPr>
          <w:rFonts w:ascii="Times New Roman" w:cs="Times New Roman" w:eastAsia="Times New Roman" w:hAnsi="Times New Roman"/>
          <w:sz w:val="20"/>
          <w:szCs w:val="20"/>
          <w:color w:val="auto"/>
        </w:rPr>
        <w:t>”, and together with MSSF, JPMCB, Bank of America, HSBC Securities, HSBC Bank USA, HSBC BANK UK, Citi, Credit Agricole, PNC Bank, PNC Capital Markets, BMOCM, BMO Bank, Bank of Montreal, SMBC, RBC, Truist, KBC and SC, the “</w:t>
      </w:r>
      <w:r>
        <w:rPr>
          <w:rFonts w:ascii="Times New Roman" w:cs="Times New Roman" w:eastAsia="Times New Roman" w:hAnsi="Times New Roman"/>
          <w:sz w:val="20"/>
          <w:szCs w:val="20"/>
          <w:u w:val="single" w:color="auto"/>
          <w:color w:val="auto"/>
        </w:rPr>
        <w:t>Commitment Parties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that the Company intends to acquire (the “</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directly or indirectly, all of the issued and outstanding equity interests of a company previously identified to the Commitment Parties as “Sonic” (the “</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and, together with its subsidiaries, the “</w:t>
      </w:r>
      <w:r>
        <w:rPr>
          <w:rFonts w:ascii="Times New Roman" w:cs="Times New Roman" w:eastAsia="Times New Roman" w:hAnsi="Times New Roman"/>
          <w:sz w:val="20"/>
          <w:szCs w:val="20"/>
          <w:u w:val="single" w:color="auto"/>
          <w:color w:val="auto"/>
        </w:rPr>
        <w:t>Acquired Business</w:t>
      </w:r>
      <w:r>
        <w:rPr>
          <w:rFonts w:ascii="Times New Roman" w:cs="Times New Roman" w:eastAsia="Times New Roman" w:hAnsi="Times New Roman"/>
          <w:sz w:val="20"/>
          <w:szCs w:val="20"/>
          <w:color w:val="auto"/>
        </w:rPr>
        <w:t xml:space="preserve">”) pursuant to that certain Amended and Restated Agreement and Plan of Merger (together with all exhibits, schedules, appendices and other attachments thereto, as the same may be amended, supplemented or modified from time to time in a manner not in contravention of Section 1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u w:val="single" w:color="auto"/>
          <w:color w:val="auto"/>
        </w:rPr>
        <w:t>Acquisition Agreement</w:t>
      </w:r>
      <w:r>
        <w:rPr>
          <w:rFonts w:ascii="Times New Roman" w:cs="Times New Roman" w:eastAsia="Times New Roman" w:hAnsi="Times New Roman"/>
          <w:sz w:val="20"/>
          <w:szCs w:val="20"/>
          <w:color w:val="auto"/>
        </w:rPr>
        <w:t>”), dated as of October 1, 2026, by and among the Company, a newly-formed Delaware corporation and wholly owned subsidiary of the Company, and the Target. Capitalized terms used but not defined herein shall have the meanings assigned to them in the Exhibits hereto. For the purposes of this Commitment Letter, “</w:t>
      </w:r>
      <w:r>
        <w:rPr>
          <w:rFonts w:ascii="Times New Roman" w:cs="Times New Roman" w:eastAsia="Times New Roman" w:hAnsi="Times New Roman"/>
          <w:sz w:val="20"/>
          <w:szCs w:val="20"/>
          <w:u w:val="single" w:color="auto"/>
          <w:color w:val="auto"/>
        </w:rPr>
        <w:t>Citi</w:t>
      </w:r>
      <w:r>
        <w:rPr>
          <w:rFonts w:ascii="Times New Roman" w:cs="Times New Roman" w:eastAsia="Times New Roman" w:hAnsi="Times New Roman"/>
          <w:sz w:val="20"/>
          <w:szCs w:val="20"/>
          <w:color w:val="auto"/>
        </w:rPr>
        <w:t>” shall mean Citigroup Global Markets Inc., Citibank, N.A., Citicorp USA, Inc., Citicorp North America, Inc. and/or any of their affiliates as Citi shall determine to be appropriate to provide the services contemplated herein.</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Company intends to fund the cash purchase price under the Acquisition Agreement and to pay fees, costs and expenses related to the Acquisition and other related transactions with a combination of (a) cash on the Company’s balance sheet and (b) proceeds of borrowings by the Company under (i) a term loan A credit facility having the terms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Commitment Letter (the “</w:t>
      </w:r>
      <w:r>
        <w:rPr>
          <w:rFonts w:ascii="Times New Roman" w:cs="Times New Roman" w:eastAsia="Times New Roman" w:hAnsi="Times New Roman"/>
          <w:sz w:val="20"/>
          <w:szCs w:val="20"/>
          <w:u w:val="single" w:color="auto"/>
          <w:color w:val="auto"/>
        </w:rPr>
        <w:t>Term Loan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 Facility</w:t>
      </w:r>
      <w:r>
        <w:rPr>
          <w:rFonts w:ascii="Times New Roman" w:cs="Times New Roman" w:eastAsia="Times New Roman" w:hAnsi="Times New Roman"/>
          <w:sz w:val="20"/>
          <w:szCs w:val="20"/>
          <w:color w:val="auto"/>
        </w:rPr>
        <w:t xml:space="preserve">”) in an aggregate principal amount of up to $1,600,000,000 and (ii) a term loan B credit facility having the terms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Commitment Letter (the “</w:t>
      </w:r>
      <w:r>
        <w:rPr>
          <w:rFonts w:ascii="Times New Roman" w:cs="Times New Roman" w:eastAsia="Times New Roman" w:hAnsi="Times New Roman"/>
          <w:sz w:val="20"/>
          <w:szCs w:val="20"/>
          <w:u w:val="single" w:color="auto"/>
          <w:color w:val="auto"/>
        </w:rPr>
        <w:t>Term Loan B Credit Facility</w:t>
      </w:r>
      <w:r>
        <w:rPr>
          <w:rFonts w:ascii="Times New Roman" w:cs="Times New Roman" w:eastAsia="Times New Roman" w:hAnsi="Times New Roman"/>
          <w:sz w:val="20"/>
          <w:szCs w:val="20"/>
          <w:color w:val="auto"/>
        </w:rPr>
        <w:t>” and, collectively with the Term Loan A Credit Facility,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in an aggregate principal amount of up to $850,000,000.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6459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0" w:hanging="112"/>
        <w:spacing w:after="0"/>
        <w:tabs>
          <w:tab w:leader="none" w:pos="1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RBC Capital Markets is a brand name for the capital markets activities of Royal Bank of Canada and its affiliates.</w:t>
      </w:r>
    </w:p>
    <w:p>
      <w:pPr>
        <w:sectPr>
          <w:pgSz w:w="11900" w:h="16838" w:orient="portrait"/>
          <w:cols w:equalWidth="0" w:num="1">
            <w:col w:w="11240"/>
          </w:cols>
          <w:pgMar w:left="320" w:top="14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The Acquisition and the other transactions described above are collectively referred to herein as the “</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Commitments and Roles</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Each Commitment Party is pleased to advise you of its several, but not joint, commitment to provide, and hereby commits to provide, the percentage of the aggregate principal amount of the Term Loan A Credit Facility and the Term Loan B Credit Facility, as applicable, set forth opposite its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under the headings “Term Loan A Credit Facility Commitment Percentage” and “Term Loan B Credit Facility Commitment Percentage” (as applicable), in each case, on the terms set forth in this Commitment Letter and subject only to the satisfaction or waiver by each of the Commitment Parties of the conditions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It is agreed that (i) JPMCB will act as sole and exclusive administrative agent and collateral agent (in such capacities,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for the Term Facilities, (ii) each of MSSF, JPMCB, Bank of America, HSBC Securities, Citi, Credit Agricole, PNC Capital Markets, BMOCM, SMBC, RBC, Truist Securities, KBC, SC and Barclays will act as a joint lead arranger (each in such capacities, a “</w:t>
      </w:r>
      <w:r>
        <w:rPr>
          <w:rFonts w:ascii="Times New Roman" w:cs="Times New Roman" w:eastAsia="Times New Roman" w:hAnsi="Times New Roman"/>
          <w:sz w:val="20"/>
          <w:szCs w:val="20"/>
          <w:u w:val="single" w:color="auto"/>
          <w:color w:val="auto"/>
        </w:rPr>
        <w:t>Joint Lead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Joint Lead Arrangers</w:t>
      </w:r>
      <w:r>
        <w:rPr>
          <w:rFonts w:ascii="Times New Roman" w:cs="Times New Roman" w:eastAsia="Times New Roman" w:hAnsi="Times New Roman"/>
          <w:sz w:val="20"/>
          <w:szCs w:val="20"/>
          <w:color w:val="auto"/>
        </w:rPr>
        <w:t>”) for the Term Facilities and (iii) each of MSSF, JPMCB, Bank of America, HSBC Securities, Citi, Credit Agricole and PNC Capital Markets will act as a joint bookrunner (each in such capacities, a “</w:t>
      </w:r>
      <w:r>
        <w:rPr>
          <w:rFonts w:ascii="Times New Roman" w:cs="Times New Roman" w:eastAsia="Times New Roman" w:hAnsi="Times New Roman"/>
          <w:sz w:val="20"/>
          <w:szCs w:val="20"/>
          <w:u w:val="single" w:color="auto"/>
          <w:color w:val="auto"/>
        </w:rPr>
        <w:t>Joint Lead Bookrunner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Joint Lead Bookrunners</w:t>
      </w:r>
      <w:r>
        <w:rPr>
          <w:rFonts w:ascii="Times New Roman" w:cs="Times New Roman" w:eastAsia="Times New Roman" w:hAnsi="Times New Roman"/>
          <w:sz w:val="20"/>
          <w:szCs w:val="20"/>
          <w:color w:val="auto"/>
        </w:rPr>
        <w:t>” and, together with the Joint Lead Arrangers, the “</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for the Term Facilities, in each case, on the terms set forth in this Commitment Letter and the Fee Letters (as defined below). MSSF shall have “lead left” placement in all offering or marketing materials used in connection with the Term Facilities and will have the roles and responsibilities customarily associated with such name placement. You agree no other titles will be awarded and no compensation will be paid (other than as expressly contemplated by this Commitment Letter and the Fee Letters) by the Company or any of its subsidiaries in connection with the Term Facilities unless you and we shall so agree. Each of the Arrangers and the Administrative Agent will have the rights and authority customarily given to financial institutions in such roles.</w:t>
      </w:r>
    </w:p>
    <w:p>
      <w:pPr>
        <w:spacing w:after="0" w:line="20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Our commitments hereunder and our agreements to perform the services described herein are subject only to the satisfaction, or waiver by each of the Commitment Parties, of the conditions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It is understood and agreed that there are no conditions (implied or otherwise) to the commitments hereunder (including compliance with the terms of this Commitment Letter, the Fee Letters and the Facility Documentation) other than those that are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upon satisfaction, or waiver by each of the Commitment Parties, of the conditions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the funding under the applicable Term Facility shall occur).</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Commitment Letter, the Fee Letters, the Facility Documentation or any other agreement between you and us concerning the Term Facilities, (a) the only representations and warranties the accuracy of which will be a condition to the availability or funding of each Term Facility on the Closing Date will be (i) the representations and warranties made by the Target in the Acquisition Agreement as are material to the interest of the Lenders (in their capacities as such), but only to the extent that you or your applicable subsidiary have the right (taking into account any cure period) to terminate your or its obligations under the Acquisition Agreement or to decline to consummate the Acquisition as a result of any inaccuracy of such representations and warranties in the Acquisition Agreement (the “</w:t>
      </w:r>
      <w:r>
        <w:rPr>
          <w:rFonts w:ascii="Times New Roman" w:cs="Times New Roman" w:eastAsia="Times New Roman" w:hAnsi="Times New Roman"/>
          <w:sz w:val="20"/>
          <w:szCs w:val="20"/>
          <w:u w:val="single" w:color="auto"/>
          <w:color w:val="auto"/>
        </w:rPr>
        <w:t>Acquisition Agreement Representations</w:t>
      </w:r>
      <w:r>
        <w:rPr>
          <w:rFonts w:ascii="Times New Roman" w:cs="Times New Roman" w:eastAsia="Times New Roman" w:hAnsi="Times New Roman"/>
          <w:sz w:val="20"/>
          <w:szCs w:val="20"/>
          <w:color w:val="auto"/>
        </w:rPr>
        <w:t>”) and (ii) the Specified</w:t>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Representations (as defined below) and (b) the terms of the applicable Facility Documentation shall be in a form such that they do not impair the availability or funding of the applicable Term Facility on the Closing Date if the applicable conditions set forth or referred to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(limited on the Closing Date as indicated therein) are satisfied (or waived by the Commitment Parties) (it being understood that, to the extent any security interest in any Collateral is or cannot be provided and/or perfected on the Closing Date (other than the provision and perfection of security interests in any asset pursuant to which a lien may be perfected by the filing of a financing statement under the Uniform Commercial Code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after your use of commercially reasonable efforts to do so or without undue burden or expense, then the provision and/or perfection of a security interest in such Collateral shall not constitute a condition precedent to the availability or funding of the Term Facilities on the Closing Date, but instead shall be required to be delivered and/or perfected after the Closing Date pursuant to arrangements and timing to be mutually agreed by the Administrative Agent and the Company (but, in any event, not later than ninety (90) days after the Closing Date or such longer period as may be agreed by the Administrative Agent, in its sole discretion, and the Borrower acting reasonably without any requirement for Lender consent)). For purposes hereof, “</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means the representations and warranties of the Company and the Guarantors set forth in the Facility Documentation relating to due organization and existence of the Company and the Guarantors; requisite power and authority of the Company and the Guarantors to enter into the Facility Documentation and to consummate the transactions thereunder; due authorization, execution and delivery by the Company and the Guarantors of the Facility Documentation and enforceability of the Facility Documentation against the Company and the Guarantors; no conflicts of the Facility Documentation and the transactions thereunder with the Company’s and the Guarantors’ organizational documents or any instruments evidencing or governing committed or funded debt for borrowed money in an aggregate principal amount of $250,000,000 or more; Investment Company Act; Federal Reserve margin regulations; solvency of the Company and its subsidiaries, on a consolidated basis, as of the Closing Date (after giving effect to the Transactions) (such representation and warranty to be consistent with the solvency certificate in the form set forth in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proceeds not used in violation of the Patriot Act, OFAC regulations, the FCPA or any other applicable anti-corruption or sanctions laws; and subject to permitted liens and the limitations set forth above, creation, validity and perfection of security interests in the Collateral. This paragraph, and the provisions set forth in this paragraph, are referred to as the “</w:t>
      </w:r>
      <w:r>
        <w:rPr>
          <w:rFonts w:ascii="Times New Roman" w:cs="Times New Roman" w:eastAsia="Times New Roman" w:hAnsi="Times New Roman"/>
          <w:sz w:val="20"/>
          <w:szCs w:val="20"/>
          <w:u w:val="single" w:color="auto"/>
          <w:color w:val="auto"/>
        </w:rPr>
        <w:t>Limited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Conditionality Provision</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Syndication</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If a Successful Syndication (as defined in the Facilities Fee Letter) has not been achieved within 12 business days after the Original Signing Date, the Arrangers reserve the right to syndicate the Term Loan B Credit Facility to banks and other financial institutions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promptly after the execution of this Commitment Letter. The Arrangers will manage and determine, in consultation with you, all aspects of the syndication of the Term Loan B Credit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we will not syndicate the Term Loan B Credit Facility to (a) persons that are determined by you to be competitors of you or your subsidiaries and that you have identified, by name, in writing to the Arrangers from time to time after the date hereof and prior to the Closing Date (or to the Administrative Agent from time to time after the Closing Date) and (b) affiliates of any person described in clause (a) above (other than bona fide debt fund affiliates) if such affiliates are identified, by name, by you in writing to the Arrangers from time to time after the date hereof and prior to the Closing Date (or to the Administrative Agent from time to time after the Closing Date) or are otherwise clearly identifiable as an affiliate of such person based solely on the similarity of such affiliate’s name to the name of such person (collectively, the “</w:t>
      </w: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38" w:lineRule="auto"/>
        <w:rPr>
          <w:sz w:val="20"/>
          <w:szCs w:val="20"/>
          <w:color w:val="auto"/>
        </w:rPr>
      </w:pPr>
      <w:r>
        <w:rPr>
          <w:rFonts w:ascii="Times New Roman" w:cs="Times New Roman" w:eastAsia="Times New Roman" w:hAnsi="Times New Roman"/>
          <w:sz w:val="20"/>
          <w:szCs w:val="20"/>
          <w:color w:val="auto"/>
        </w:rPr>
        <w:t>To facilitate an orderly and successful syndication of the Term Loan B Credit Facility, you agree that, until the earlier of (a) the Closing Date and (b) the date upon which a Successful Syndication (as defined in the Facilities Fee Letter) is achieved (such earlier date, the “</w:t>
      </w:r>
      <w:r>
        <w:rPr>
          <w:rFonts w:ascii="Times New Roman" w:cs="Times New Roman" w:eastAsia="Times New Roman" w:hAnsi="Times New Roman"/>
          <w:sz w:val="20"/>
          <w:szCs w:val="20"/>
          <w:u w:val="single" w:color="auto"/>
          <w:color w:val="auto"/>
        </w:rPr>
        <w:t>Syndication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you will not, and will cause your subsidiaries not to, and you agree to use commercially reasonable efforts (to the extent practical and appropriate and in all instances subject to the limitations on your rights set forth in the Acquisition Agreement) to cause the Target and its subsidiaries not to, in each case, without the prior written consent of the Arrangers, syndicate or issue or announce the syndication or issuance of any debt facility or any debt security of the Company, the Target or their respective subsidiaries, including any extension or refinancing of any existing debt facility or debt security, in each case, that would reasonably be expected to materially impair the primary syndication of the Term Loan B Credit Facility (other than (i) the Term Facilities, (ii) any amendment to, or refinancing of, or borrowings under (including the issuance of any letters of credit under), that certain Credit Agreement, dated as of June 22, 2023, by and among the Company, as borrower, the several lenders party thereto, JPMorgan Chase Bank, N.A., as administrative agent, and certain other parties (such credit agreement as in effect on the date hereof, the “</w:t>
      </w:r>
      <w:r>
        <w:rPr>
          <w:rFonts w:ascii="Times New Roman" w:cs="Times New Roman" w:eastAsia="Times New Roman" w:hAnsi="Times New Roman"/>
          <w:sz w:val="20"/>
          <w:szCs w:val="20"/>
          <w:u w:val="single" w:color="auto"/>
          <w:color w:val="auto"/>
        </w:rPr>
        <w:t>Existing Company Credit Agreement</w:t>
      </w:r>
      <w:r>
        <w:rPr>
          <w:rFonts w:ascii="Times New Roman" w:cs="Times New Roman" w:eastAsia="Times New Roman" w:hAnsi="Times New Roman"/>
          <w:sz w:val="20"/>
          <w:szCs w:val="20"/>
          <w:color w:val="auto"/>
        </w:rPr>
        <w:t>”) that does not increase the amount available thereunder, (iii) any borrowings (including issuances of letters of credit thereunder) under any revolving credit facilities of the Target or the Acquired Business (and any amendments, restatements, amendments and restatements, extensions and renewals of the same), (iv) any trade or customer related financings, intercompany indebtedness, capital and finance leases, equipment financings, purchase money debt, overdraft facilities, receivables financings, warehouse financings, factoring arrangements, sale leaseback arrangements, letter of credit and bank guarantee facilities and working capital facilities, in each case incurred in the ordinary course of business, (v) any issuance or incurrence of indebtedness in order to renew, replace or refinance the Company’s 0% convertible senior notes due 2027, 0.50% convertible senior notes due 2029 and/or 3.875% senior notes due 2028, (vi) any issuances of commercial paper or the receipt of funding or grants from any governmental authority or regulatory authority, (vii) any indebtedness of the Acquired Business not prohibited to be incurred under the Acquisition Agreement, (viii) other indebtedness to the extent the net cash proceeds of such debt are utilized to refinance any debt within nine months of the maturity thereof and to pay any fees or other amounts in respect thereof or otherwise in connection therewith (including any prepayment or redemption premiums and accrued interest thereon) and (ix) other indebtedness (other than to finance the Acquisition) not to exceed $100,000,000 in the aggregate).</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Until the Syndication Date, the Company agrees to use commercially reasonable efforts to actively assist and, if requested by the Arrangers to use commercially reasonable efforts (to the extent practical and appropriate and in all instances subject to your limitation on your rights set forth in the Acquisition Agreement) to cause the Target to actively assist, the Arrangers in completing the syndication of the Term Loan B Credit Facility reasonably satisfactory to the Arrangers and the Company. Such assistance shall include (a) your using commercially reasonable efforts to ensure that the Arrangers’ syndication efforts benefit from the existing lending and investment banking relationships of the Company, (b) your assistance (and your using commercially reasonable efforts (to the extent practical and appropriate and in all instances subject to your limitation on your rights set forth in the Acquisition Agreement) to cause the Target to assist) in the preparation of a customary information memorandum and other customary marketing materials to be used in connection with the syndication of the Term Loan B Credit Facility regarding the Company, the Target and their respective subsidiaries and the Transactions (collectively, the “</w:t>
      </w:r>
      <w:r>
        <w:rPr>
          <w:rFonts w:ascii="Times New Roman" w:cs="Times New Roman" w:eastAsia="Times New Roman" w:hAnsi="Times New Roman"/>
          <w:sz w:val="20"/>
          <w:szCs w:val="20"/>
          <w:u w:val="single" w:color="auto"/>
          <w:color w:val="auto"/>
        </w:rPr>
        <w:t>Marketing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(c) hosting, with the Arrangers and appropriate members of your senior management, a reasonable number of meetings of prospective Lenders (limited to one “bank meeting,” unless otherwise deemed reasonably necessary by the Arrangers in consultation with you) at times and locations to be mutually agreed (which meetings may be held by videoconference) (and, to the extent practical and appropriate and subject to the limitations on your rights set forth in the Acquisition Agreement, using your commercially reasonable efforts to cause the senior management of Target to be available for such meetings) and (d) your using commercially reasonable efforts to obtain, as promptly as</w:t>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line="249" w:lineRule="auto"/>
        <w:rPr>
          <w:sz w:val="20"/>
          <w:szCs w:val="20"/>
          <w:color w:val="auto"/>
        </w:rPr>
      </w:pPr>
      <w:r>
        <w:rPr>
          <w:rFonts w:ascii="Times New Roman" w:cs="Times New Roman" w:eastAsia="Times New Roman" w:hAnsi="Times New Roman"/>
          <w:sz w:val="20"/>
          <w:szCs w:val="20"/>
          <w:color w:val="auto"/>
        </w:rPr>
        <w:t>practicable following the date hereof and prior to the launch of any syndication, updated public corporate ratings (but no specific rating) of the Company and public ratings (but no specific rating) of the Term Loan B Credit Facility, in each case after giving effect to the Transactions, from each of Moody’s Investor Services, Inc. (“</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and Standard &amp; Poor’s Rating Services, a Standard &amp; Poor’s Financial Services LLC business (“</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xml:space="preserve">”). In addition, you agree, prior to the Syndication Date, to use commercially reasonable efforts to promptly prepare and provide, and to use your commercially reasonable efforts (to the extent practical and appropriate and subject to the limitations on your rights set forth in the Acquisition Agreement) to cause the Target to promptly prepare and provide, to the Arrangers all customary information with respect to the Company, the Target, their respective subsidiaries and the transactions contemplated hereby, including customary financial projections, as the Arrangers may reasonably request in connection with the syndication of the Term Loan B Credit Facility. It is understood that, without limiting your representation and warranty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none of the Company, the Target or the Acquired Business will be required to provide any information to the extent that the provision thereof would, in its good faith judgment, violate (i) any attorney-client privilege (or result in the loss thereof), (ii) any law, rule or regulation applicable to the Company, the Target or their respective subsidiaries or (iii) any obligation of confidentiality to a third party binding on the Company, the Target or their respective subsidiaries (so long as such confidentiality obligation was not entered into in contemplation of the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to the extent permitted, you provide us with notice of the existence of any such information that is being withheld and (y) you shall use commercially reasonable efforts to communicate, to the extent permitted, the applicable information in a way that would not result in a loss of such attorney-client privilege or violate the applicable law, rule, regulation or obligation. You agree that, after the Closing Date, each Arranger has the right to describe its services to you in a “tombstone” advertisement or as part of a “case study” incorporated into promotional materials or in financial and other newspaper advertisements (and, in connection therewith, to download copies of your trademark logos from your website and to use such logos in such advertisements or materials), in each case, at its own expense.</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You understand that certain prospective Lenders (such Lenders, “</w:t>
      </w:r>
      <w:r>
        <w:rPr>
          <w:rFonts w:ascii="Times New Roman" w:cs="Times New Roman" w:eastAsia="Times New Roman" w:hAnsi="Times New Roman"/>
          <w:sz w:val="20"/>
          <w:szCs w:val="20"/>
          <w:u w:val="single" w:color="auto"/>
          <w:color w:val="auto"/>
        </w:rPr>
        <w:t>Public Lenders</w:t>
      </w:r>
      <w:r>
        <w:rPr>
          <w:rFonts w:ascii="Times New Roman" w:cs="Times New Roman" w:eastAsia="Times New Roman" w:hAnsi="Times New Roman"/>
          <w:sz w:val="20"/>
          <w:szCs w:val="20"/>
          <w:color w:val="auto"/>
        </w:rPr>
        <w:t>”) may have personnel that do not wish to receive MNPI (as defined below). At the Arrangers’ request, you agree to assist, and to use commercially reasonable efforts (to the extent practical and appropriate and subject to the limitations on your rights set forth in the Acquisition Agreement) to cause the Target to assist, in the preparation of an additional version of the Marketing Materials that does not contain material non-public information concerning the Company, the Target or their subsidiaries or securities of any of the foregoing (collectively, “</w:t>
      </w:r>
      <w:r>
        <w:rPr>
          <w:rFonts w:ascii="Times New Roman" w:cs="Times New Roman" w:eastAsia="Times New Roman" w:hAnsi="Times New Roman"/>
          <w:sz w:val="20"/>
          <w:szCs w:val="20"/>
          <w:u w:val="single" w:color="auto"/>
          <w:color w:val="auto"/>
        </w:rPr>
        <w:t>MNPI</w:t>
      </w:r>
      <w:r>
        <w:rPr>
          <w:rFonts w:ascii="Times New Roman" w:cs="Times New Roman" w:eastAsia="Times New Roman" w:hAnsi="Times New Roman"/>
          <w:sz w:val="20"/>
          <w:szCs w:val="20"/>
          <w:color w:val="auto"/>
        </w:rPr>
        <w:t>”) and which is suitable to make available to Public Lenders. You acknowledge and agree that the following documents may be distributed to Public Lenders unless you notify the Arrangers promptly (including by e-mail) within a reasonable period of time prior to the intended distribution that any such document contains MNPI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such document has been provided to you for review a reasonable period of time prior thereto): (a) drafts and final versions of the definitive documents relating to the Term Loan B Credit Facility; (b) administrative materials prepared by the Arrangers for prospective Lenders under the Term Loan B Credit Facility (including, without limitation, a lender meeting invitation, allocations and funding and closing memoranda); and (c) term sheets and notification of changes in the terms and conditions of the Term Loan B Credit Facility. If you advise us in writing (including by email), within a reasonable period of time prior to distribution, that any of the foregoing should not be distributed to Public Lenders, then Public Lenders will not receive any such materials without your consent. Before distribution of any Marketing Materials in connection with the syndication of the Term Loan B Credit Facility, to the extent requested by the Arrangers, you agree to provide us with a customary letter authorizing the dissemination of such materials, which shall include a customary representation by you as to the accuracy of the Marketing Materials without any qualification as to knowledge (except, prior to the Closing Date, with respect to information concerning the Acquired</w:t>
      </w:r>
    </w:p>
    <w:p>
      <w:pPr>
        <w:sectPr>
          <w:pgSz w:w="11900" w:h="16838" w:orient="portrait"/>
          <w:cols w:equalWidth="0" w:num="1">
            <w:col w:w="11240"/>
          </w:cols>
          <w:pgMar w:left="320" w:top="1413" w:right="339" w:bottom="1440" w:gutter="0" w:footer="0" w:header="0"/>
        </w:sectPr>
      </w:pPr>
    </w:p>
    <w:bookmarkStart w:id="55" w:name="page56"/>
    <w:bookmarkEnd w:id="55"/>
    <w:p>
      <w:pPr>
        <w:jc w:val="both"/>
        <w:spacing w:after="0" w:line="250" w:lineRule="auto"/>
        <w:rPr>
          <w:sz w:val="20"/>
          <w:szCs w:val="20"/>
          <w:color w:val="auto"/>
        </w:rPr>
      </w:pPr>
      <w:r>
        <w:rPr>
          <w:rFonts w:ascii="Times New Roman" w:cs="Times New Roman" w:eastAsia="Times New Roman" w:hAnsi="Times New Roman"/>
          <w:sz w:val="20"/>
          <w:szCs w:val="20"/>
          <w:color w:val="auto"/>
        </w:rPr>
        <w:t>Business to the extent such information is covered by an authorization letter from the Target without qualification as to knowledge) and, in the case of information contained in the Marketing Materials being disseminated to prospective Public Lenders (“</w:t>
      </w:r>
      <w:r>
        <w:rPr>
          <w:rFonts w:ascii="Times New Roman" w:cs="Times New Roman" w:eastAsia="Times New Roman" w:hAnsi="Times New Roman"/>
          <w:sz w:val="20"/>
          <w:szCs w:val="20"/>
          <w:u w:val="single" w:color="auto"/>
          <w:color w:val="auto"/>
        </w:rPr>
        <w:t>Public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confirming the absence of MNPI therein (and, to the extent practical and appropriate and subject to the limitations on your rights set forth in the Acquisition Agreement, you will use commercially reasonable efforts to cause the Target and the Acquired Business, solely with respect to the information concerning the Acquired Business, to provide such customary authorization letter to the Arrangers containing such representations, it being understood that in the event no such authorization letter is provided by the Target or the Acquired Business, the authorization letter provided by you shall cover the Acquired Business without any qualification as to knowledge). The Marketing Materials provided to Lenders and prospective Lenders will be accompanied by a disclaimer exculpating us, you, the Target and our, your and their respective affiliates with respect to any misuse or use thereof and of any related materials by the recipients thereof. In addition, at the Arrangers’ request, you will identify Public Information Materials by marking the same as “PUBLIC” and you agree and we acknowledge that unless specifically labeled “PUBLIC”, no information, documentation or other data disseminated to prospective Lenders in connection with the syndication of the Term Loan B Credit Facility, whether through an Internet site (including, without limitation an IntraLinks, DebtDomain or SyndTrak workspace), electronically, in presentations, at meetings or otherwise may contain MNPI.</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Commitment Letter, (a) without limiting the conditions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or your obligations to assist with syndication efforts as set forth herein, it is understood that the Commitment Parties’ commitments hereunder are not subject to or conditioned upon syndication (or your assistance with respect to such syndication) of, or receipt of commitments in respect of, any Term Facility nor the obtaining of any ratings as set forth above, and that neither the commencement of nor completion of the syndication of any Term Facility shall constitute a condition to the availability or funding of the Term Facilities on the Closing Date and (b) notwithstanding our right to syndicate the Term Loan B Credit Facility and to receive commitments with respect thereto, (subject to the limitations contained herein), (x) no Commitment Party shall be relieved, released or novated from its commitment hereunder (including its obligation to fund the Term Facilities on the Closing Date) in connection with the syndication of any Term Facility until after the funding of the Term Facilities on the Closing Date has occurred, (y) no assignment or novation in connection with the syndication of any Term Facility shall become effective (as between the Company and any Commitment Party) with respect to all or any portion of any Commitment Party’s commitment hereunder until after the funding of the Term Facilities on the Closing Date has occurred and (z) unless otherwise agreed to in writing by the Company, each Commitment Party shall retain control over all of its rights and obligations with respect to its commitment hereunder, including all rights with respect to consents, modifications, waivers and amendments hereof, until after the funding of the Term Facilities on the Closing Date has occurred.</w:t>
      </w:r>
    </w:p>
    <w:p>
      <w:pPr>
        <w:spacing w:after="0" w:line="22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fees for services related to the Term Facilities are set forth in (i) that certain Second Amended and Restated Facilities Fee Letter (the “</w:t>
      </w:r>
      <w:r>
        <w:rPr>
          <w:rFonts w:ascii="Times New Roman" w:cs="Times New Roman" w:eastAsia="Times New Roman" w:hAnsi="Times New Roman"/>
          <w:sz w:val="20"/>
          <w:szCs w:val="20"/>
          <w:u w:val="single" w:color="auto"/>
          <w:color w:val="auto"/>
        </w:rPr>
        <w:t>Facilities Fee Letter</w:t>
      </w:r>
      <w:r>
        <w:rPr>
          <w:rFonts w:ascii="Times New Roman" w:cs="Times New Roman" w:eastAsia="Times New Roman" w:hAnsi="Times New Roman"/>
          <w:sz w:val="20"/>
          <w:szCs w:val="20"/>
          <w:color w:val="auto"/>
        </w:rPr>
        <w:t>”) between the Company and each Commitment Party dated the date hereof, (ii) that certain Amended and Restated MSSF Agent Fee Letter (the “</w:t>
      </w:r>
      <w:r>
        <w:rPr>
          <w:rFonts w:ascii="Times New Roman" w:cs="Times New Roman" w:eastAsia="Times New Roman" w:hAnsi="Times New Roman"/>
          <w:sz w:val="20"/>
          <w:szCs w:val="20"/>
          <w:u w:val="single" w:color="auto"/>
          <w:color w:val="auto"/>
        </w:rPr>
        <w:t>MSSF Agent Fee Letter</w:t>
      </w:r>
      <w:r>
        <w:rPr>
          <w:rFonts w:ascii="Times New Roman" w:cs="Times New Roman" w:eastAsia="Times New Roman" w:hAnsi="Times New Roman"/>
          <w:sz w:val="20"/>
          <w:szCs w:val="20"/>
          <w:color w:val="auto"/>
        </w:rPr>
        <w:t>”) between the Company and MSSF dated the date hereof and (iii) that certain Amended and Restated JPMCB Agent Fee Letter (the “</w:t>
      </w:r>
      <w:r>
        <w:rPr>
          <w:rFonts w:ascii="Times New Roman" w:cs="Times New Roman" w:eastAsia="Times New Roman" w:hAnsi="Times New Roman"/>
          <w:sz w:val="20"/>
          <w:szCs w:val="20"/>
          <w:u w:val="single" w:color="auto"/>
          <w:color w:val="auto"/>
        </w:rPr>
        <w:t>JPMBC Agent Fee Letter</w:t>
      </w:r>
      <w:r>
        <w:rPr>
          <w:rFonts w:ascii="Times New Roman" w:cs="Times New Roman" w:eastAsia="Times New Roman" w:hAnsi="Times New Roman"/>
          <w:sz w:val="20"/>
          <w:szCs w:val="20"/>
          <w:color w:val="auto"/>
        </w:rPr>
        <w:t>”, and together with the Facilities Fee Letter and the MSSF Agent Fee Letter, the “</w:t>
      </w: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between the Company and JPMCB dated the date hereof. As consideration for the execution and delivery of this Commitment Letter by the</w:t>
      </w:r>
    </w:p>
    <w:p>
      <w:pPr>
        <w:sectPr>
          <w:pgSz w:w="11900" w:h="16838" w:orient="portrait"/>
          <w:cols w:equalWidth="0" w:num="1">
            <w:col w:w="11240"/>
          </w:cols>
          <w:pgMar w:left="320" w:top="14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Commitment Parties, you agree to pay the fees set forth in the Fee Letters as and when payable in accordance with the terms thereof.</w:t>
      </w:r>
    </w:p>
    <w:p>
      <w:pPr>
        <w:spacing w:after="0" w:line="256"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You represent and warrant that (a) all written factual information concerning the Company, the Target or their respective subsidiaries (other than projections and other forward-looking information and information of a general economic or industry-specific nature) that has been or will be made available to any Commitment Party, any Lender or any of their respective affiliates by or on behalf of the Company in connection with the Transactions is and will be, when taken as a whole, complete and correct in all material respects and does not and will not, when furnished, taken as a whole, contain any untrue statement of a material fact or omit to state a material fact necessary to make the statements contained therein not materially misleading in light of the circumstances under which such statements are made (in each case, after giving effect to all supplements thereto provided);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representation and warranty made as of a date prior to the Closing Date with respect to any information provided on behalf of or relating to the Acquired Business is made only to your knowledge, and (b) the projections and other forward-looking information that have been or will be made available to any Commitment Party, any Lender or any of their respective affiliates by or on behalf of the Company in connection with the Transactions have been and will be prepared in good faith based upon assumptions that are believed by the Company to be reasonable when made and when made available to any Commitment Party, any Lender or any of their respective affiliates (it being understood that the projections are as to future events and are not to be viewed as facts, the projections or other forward-looking information are subject to significant uncertainties and contingencies, many of which are beyond your control, that no assurance can be given that any particular projections or other forward-looking information will be realized and that the actual results during the period or periods covered by any such projections or other forward-looking information may differ significantly from the projected results and such differences may be material). You agree that if at any time prior to the later of (x) the Closing Date and (y) the Syndication Date any of the representations and warranties in the preceding sentence would be incorrect in any material respect if the information or projections or other forward-looking information were being furnished, and such representations and warranties were being made, at such time, then you will promptly supplement (and with respect to the Acquired Business, use commercially reasonable efforts (to the extent practical and appropriate and subject to the limitations on your rights set forth in the Acquisition Agreement) to cause the Target to supplement) the information or projections or other forward-looking information so that such representations and warranties will be correct in all material respects. You understand that, in providing our services pursuant to this Commitment Letter, we may use and rely upon and assume the accuracy and completeness of all such information and projections without independent verification thereof, and we do not assume responsibility for the accuracy or completeness thereof. Notwithstanding anything set forth above, the accuracy of the foregoing representations and warranties, whether or not supplemented, and any obligation to supplement the information and the projections, shall not be a condition to the availability or funding of the Term Facilities on the Closing Date.</w:t>
      </w: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and Expenses</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You hereby agree (a) to indemnify promptly upon demand and hold harmless each of the Commitment Parties, their respective affiliates and each director, officer, employee, partner, member, trustee, advisor, representative or agent of any of the foregoing (each of the foregoing, an “</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from and against any and all actions, suits, proceedings (including any investigations or inquiries), claims, losses, damages, liabilities or expenses (including fees, charges and disbursements of counsel, but limited to the reasonable and documented or invoiced out-of-pocket fees, charges and disbursements of one firm of</w:t>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counsel representing all of the Indemnified Persons, taken as a whole, and, if necessary, of a single firm of local counsel in each appropriate jurisdiction (which may include a single special counsel acting in multiple jurisdictions) for all the Indemnified Persons, taken as a whole (and, in the case of an actual or perceived conflict of interest where the Indemnified Person affected by such conflict notifies you of the existence of such conflict and thereafter retains its own counsel, of another firm of counsel for the affected Indemnified Persons similarly situated (and, if necessary, one additional firm of local counsel in each appropriate jurisdiction))), joint or several, of any kind or nature whatsoever that may be brought or threatened by the Company, the Target, any of their respective equity holders, security holders or creditors or any affiliates of any of the foregoing or any other person and which may be incurred by or asserted against or involve any Indemnified Person (whether or not any Indemnified Person is a party to such action, suit, proceeding or claim and whether or not the Transactions are consummated and without regard to the exclusive or contributory negligence of any Indemnified Person) as a result of or arising out of or in any way related to or resulting from this Commitment Letter, the First Amended and Restated Commitment Letter, the Original Commitment Letter, the Facilities Fee Letter, the First Amended and Restated Facilities Fee Letter (as defined in the Facilities Fee Letter), the Original Fee Letter (as defined in the Facilities Fee Letter), the MSSF Agent Fee Letter, the Original MSSF Agent Fee Letter (as defined in the MSSF Agent Fee Letter), the JPMCB Agent Fee Letter, the Original JPMCB Agent Fee Letter (as defined in the JPMCB Agent Fee Letter), the Term Facilities, the Transactions or any related transaction contemplated hereby or thereby or any use or intended use of the proceeds of the Term Facilities;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you will not have to indemnify and hold harmless an Indemnified Person against any claim, loss, damage, liability or expense to the extent the same (i) shall have been determined by a court of competent jurisdiction, in a final and non-appealable judgment, to have resulted from (A) the gross negligence, bad faith or willful misconduct of such Indemnified Person or its Related Parties (as defined below) or (B) such Indemnified Person’s or its Related Parties’ material breach of this Commitment Letter or (ii) resulted from disputes solely among Indemnified Persons not arising from or in connection with any act or omission by the Company, the Target or any of their respective affiliates (other than any action, suit, proceeding (including an investigation or inquiry) or claim against any Indemnified Person in its capacity or in fulfilling its role as the Administrative Agent, the Arrangers or other titled role under the Term Facilities) and (b) to reimburse each Commitment Party for all reasonable and documented out-of-pocket expenses (including, without limitation, reasonable, documented or invoiced out-of-pocket fees, charges and disbursements of counsel, but limited to the reasonable and documented or invoiced out-of-pocket fees, charges and disbursements of one firm of counsel representing all of the Commitment Parties and their affiliates, taken as a whole, and, if necessary, of a single firm of local counsel in each appropriate jurisdiction (which may include a single special counsel acting in multiple jurisdictions) for all the Commitment Parties and their affiliates, taken as a whole (and, in the case of an actual or perceived conflict of interest where the Commitment Party affected by such conflict notifies you of the existence of such conflict and thereafter retains its own counsel, of another firm of counsel for the affected Commitment Parties similarly situated (and, if necessary, one additional firm of local counsel in each appropriate jurisdiction))) incurred in connection with the Term Facilities and the preparation, negotiation, execution and delivery of any related documentation (including, without limitation, this Commitment Letter, the First Amended and Restated Commitment Letter, the Original Commitment Letter, the Facilities Fee Letter, the First Amended and Restated Facilities Fee Letter (as defined in the Facilities Fee Letter), the Original Fee Letter (as defined in the Facilities Fee Letter), the MSSF Agent Fee Letter, the Original MSSF Agent Fee Letter (as defined in the MSSF Agent Fee Letter), the JPMCB Agent Fee Letter, the Original JPMCB Agent Fee Letter (as defined in the JPMCB Agent Fee Letter) and the Facility Documentation) or the administration, amendment, modification or waiver thereof and in connection with the enforcement of any of its rights and remedies hereunder.</w:t>
      </w:r>
    </w:p>
    <w:p>
      <w:pPr>
        <w:sectPr>
          <w:pgSz w:w="11900" w:h="16838" w:orient="portrait"/>
          <w:cols w:equalWidth="0" w:num="1">
            <w:col w:w="11240"/>
          </w:cols>
          <w:pgMar w:left="320" w:top="1413" w:right="339" w:bottom="1440" w:gutter="0" w:footer="0" w:header="0"/>
        </w:sectPr>
      </w:pPr>
    </w:p>
    <w:bookmarkStart w:id="58" w:name="page59"/>
    <w:bookmarkEnd w:id="5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You shall not be liable for any settlement of any action, suit, proceeding or investigation effected without your prior written consent (which consent shall not be unreasonably withheld, conditioned or delayed), but if settled with your prior written consent or if there is a final judgment in any such action, suit, proceeding or investigation, you agree to indemnify and hold harmless each Indemnified Person from and against any and all losses, claims, damages, liabilities and expenses by reason of such settlement or judgment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You shall not, without the prior written consent of an Indemnified Person (which consent shall not be unreasonably withheld, conditioned or delayed), effect any settlement of any pending or threatened action, suit, proceeding or investigation against an Indemnified Person in respect of which indemnity could have been sought hereunder by such Indemnified Person unless such settlement (a) includes an unconditional release of such Indemnified Person from all liability or claims that are the subject of such action, suit, proceeding or investigation and (b) does not include any statement as to any admission of fault by or on behalf of such Indemnified Person. For purposes hereof, “</w:t>
      </w:r>
      <w:r>
        <w:rPr>
          <w:rFonts w:ascii="Times New Roman" w:cs="Times New Roman" w:eastAsia="Times New Roman" w:hAnsi="Times New Roman"/>
          <w:sz w:val="20"/>
          <w:szCs w:val="20"/>
          <w:u w:val="single" w:color="auto"/>
          <w:color w:val="auto"/>
        </w:rPr>
        <w:t>Related Party</w:t>
      </w:r>
      <w:r>
        <w:rPr>
          <w:rFonts w:ascii="Times New Roman" w:cs="Times New Roman" w:eastAsia="Times New Roman" w:hAnsi="Times New Roman"/>
          <w:sz w:val="20"/>
          <w:szCs w:val="20"/>
          <w:color w:val="auto"/>
        </w:rPr>
        <w:t>” of any person (a “</w:t>
      </w:r>
      <w:r>
        <w:rPr>
          <w:rFonts w:ascii="Times New Roman" w:cs="Times New Roman" w:eastAsia="Times New Roman" w:hAnsi="Times New Roman"/>
          <w:sz w:val="20"/>
          <w:szCs w:val="20"/>
          <w:u w:val="single" w:color="auto"/>
          <w:color w:val="auto"/>
        </w:rPr>
        <w:t>specified person</w:t>
      </w:r>
      <w:r>
        <w:rPr>
          <w:rFonts w:ascii="Times New Roman" w:cs="Times New Roman" w:eastAsia="Times New Roman" w:hAnsi="Times New Roman"/>
          <w:sz w:val="20"/>
          <w:szCs w:val="20"/>
          <w:color w:val="auto"/>
        </w:rPr>
        <w:t xml:space="preserve">”) means any (or all, as the context may require) of such specified person’s controlled affiliates and controlling persons and its and their respective directors, officers, employees, advisors, agents and other representatives thereof and, in the case of advisors, agents and other representatives, only to the extent acting on behalf or at the instruction of such specified person or its controlled affiliates or controlling persons;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reference to a controlling person, controlled affiliate, director, officer or employee in this sentence pertains to a controlling person, controlled affiliate, director, officer or employee involved in the negotiation or syndication of this Commitment Letter and the Term Facilities.</w:t>
      </w: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any other provision of this Commitment Letter (but subject to, and without limiting, your indemnification and reimbursement obligations set forth herein or in the Facility Documentation), (a) in no event shall any Commitment Party or any of its affiliates or any director, officer, employee, partner, member, trustee, advisor, representative or agent of any of the foregoing (each of the foregoing, an “</w:t>
      </w:r>
      <w:r>
        <w:rPr>
          <w:rFonts w:ascii="Times New Roman" w:cs="Times New Roman" w:eastAsia="Times New Roman" w:hAnsi="Times New Roman"/>
          <w:sz w:val="20"/>
          <w:szCs w:val="20"/>
          <w:u w:val="single" w:color="auto"/>
          <w:color w:val="auto"/>
        </w:rPr>
        <w:t>Arranger-Related Person</w:t>
      </w:r>
      <w:r>
        <w:rPr>
          <w:rFonts w:ascii="Times New Roman" w:cs="Times New Roman" w:eastAsia="Times New Roman" w:hAnsi="Times New Roman"/>
          <w:sz w:val="20"/>
          <w:szCs w:val="20"/>
          <w:color w:val="auto"/>
        </w:rPr>
        <w:t xml:space="preserve">”) be responsible or liable to you or any other person for damages arising from the use or misuse by others of any information or other materials obtained through internet, electronic, telecommunications or other information transmission systems, except to the extent any such damages result directly and primarily from the gross negligence, bad faith or willful misconduct of such Arranger-Related Person or its Related Parties (as determined by a court of competent jurisdiction by final and nonappealable judgment) and (b) neither any Arranger-Related Person nor you will be responsible or liable for any indirect, special, punitive or consequential damages that may be alleged as a result of this Commitment Letter, the First Amended and Restated Commitment Letter, the Original Commitment Letter, the Facilities Fee Letter, the First Amended and Restated Facilities Fee Letter (as defined in the Facilities Fee Letter), the Original Fee Letter (as defined in the Facilities Fee Letter), the MSSF Agent Fee Letter, the Original MSSF Agent Fee Letter (as defined in the MSSF Agent Fee Letter), the JPMCB Agent Fee Letter, the Original JPMCB Agent Fee Letter (as defined in the JPMCB Agent Fee Letter), the Term Facilities, the Transactions or any related transaction contemplated hereby or thereby or any use or intended use of the proceeds of the Term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nothing in this sentence shall limit your indemnity and reimbursement obligations set forth herein with respect to any indirect, special, punitive or consequential damages included in any third-party claim in connection with which an Arranger-Related Person is entitled to indemnification and reimbursement hereunder.</w:t>
      </w:r>
    </w:p>
    <w:p>
      <w:pPr>
        <w:spacing w:after="0" w:line="219"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 xml:space="preserve">No party to this Commitment Letter may assign this Commitment Letter or any commitments or agreements hereunder to any other person without the prior written consent of each of the other parties hereto (and any purported assignment without such consent will be null and void),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each Commitment Party may assign its commitments and agreements hereunder, in whole or in part, to any of</w:t>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20"/>
          <w:szCs w:val="20"/>
          <w:color w:val="auto"/>
        </w:rPr>
        <w:t>its affiliates (except that, in the case of an assignment of a commitment, such Commitment Party shall not be released from its funding obligations hereunder in connection with such assignment unless consented to by the Company or until such affiliate has funded its obligations in respect of the commitment so assigned on the Closing Date) and (b) any Commitment Party’s commitment and agreements hereunder may be performed by or through its affiliates.</w:t>
      </w:r>
    </w:p>
    <w:p>
      <w:pPr>
        <w:spacing w:after="0" w:line="199"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 Notification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Commitment Party notifies the Company that pursuant to the requirements of the USA PATRIOT Act (Title III of Pub. L. 107-56) (as amended, supplemented or modified from time to time,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and the requirements of 31 C.F.R. § 1010.230 (the “</w:t>
      </w:r>
      <w:r>
        <w:rPr>
          <w:rFonts w:ascii="Times New Roman" w:cs="Times New Roman" w:eastAsia="Times New Roman" w:hAnsi="Times New Roman"/>
          <w:sz w:val="20"/>
          <w:szCs w:val="20"/>
          <w:u w:val="single" w:color="auto"/>
          <w:color w:val="auto"/>
        </w:rPr>
        <w:t>Beneficial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Ownership Regulation</w:t>
      </w:r>
      <w:r>
        <w:rPr>
          <w:rFonts w:ascii="Times New Roman" w:cs="Times New Roman" w:eastAsia="Times New Roman" w:hAnsi="Times New Roman"/>
          <w:sz w:val="20"/>
          <w:szCs w:val="20"/>
          <w:color w:val="auto"/>
        </w:rPr>
        <w:t>”), it and each Lender may be required to obtain, verify and record information that identifies the Company, including the name and address of the Company and other information that will allow such Commitment Party or such Lender to identify the Company in accordance with the Patriot Act, the Beneficial Ownership Regulation and other applicable “know your customer” and anti-money laundering rules and regulations. This notice is given in accordance with the requirements of the Patriot Act and is effective for each Commitment Party and each Lender.</w:t>
      </w:r>
    </w:p>
    <w:p>
      <w:pPr>
        <w:spacing w:after="0" w:line="20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Please note that this Commitment Letter, the Fee Letters and their respective terms or substance may not be disclosed by you, directly or indirectly, to any other person or circulated or referred to publicly without our prior written consent (such consent not to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you may disclose this Commitment Letter, the Fee Letters and the terms hereof and thereof to your subsidiaries and your and their respective officers, directors, employees, legal counsel, agents, advisors, independent auditors and credit insurers or re-insurers on a confidential and “need to know” basis, (b) you may disclose this Commitment Letter or the terms hereof (but not the Fee Letters or the terms thereof, unless redacted in a manner reasonably satisfactory to the Arrangers) to the Target and its officers, directors, employees, legal counsel, agents, advisors and independent auditors on a confidential and “need to know” basis, (c) following your return of an executed counterpart of this Commitment Letter and the Fee Letters to the Arrangers as provided below, you may disclose this Commitment Letter and the terms hereof (but not the Fee Letters or the terms thereof) in any syndication or other marketing materials in connection with the Term Facilities or any other debt financing in connection with the Acquisition or in any public filing relating to the Transactions (including in any proxy statement relating to the Acquisition), (d) following your return of an executed counterpart of the Commitment Letter and the Fee Letters to the Arrangers, you may file a copy of any portion of this Commitment Letter (but not the Fee Letters) in any public record in which it is required by, or on the basis of advice of counsel advisable under, law or regulation to be filed, (e) you may disclose, on a confidential basis, the existence and contents of this Commitment Letter, including the Exhibits hereto (but not the Fee Letters) to any rating agency, (f) you may disclose this Commitment Letter, the Fee Letters, and the terms hereof and thereof pursuant to the order of any court or administrative agency in any pending legal, judicial or administrative proceeding or otherwise as required by applicable law or compulsory legal process or to the extent requested or required by governmental and/or regulatory authorities, in each case based on the advice of your legal counsel (in which case you agree, to the extent practicable and not prohibited by applicable law, to inform us promptly thereof), (g) you may disclose the aggregate fee amounts contained in the Fee Letters (but without disclosing any specific fees or any other economic term set forth in the Fee Letters) in financial statements or as part of projections, pro forma information or a generic disclosure of aggregate sources and uses related to fee amounts related to the Transactions to the extent customary or required in offering and marketing materials for the Term</w:t>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20"/>
          <w:szCs w:val="20"/>
          <w:color w:val="auto"/>
        </w:rPr>
        <w:t>Facilities or any other debt financing in connection with the Acquisition or in any public filing relating to the Transactions (including in any proxy statement relating to the Acquisition) and (h) you may disclose this Commitment Letter, the Fee Letters, the terms hereof and thereof and such communications in connection with the exercise of any remedy or enforcement of any right under this Commitment Letter and the Fee Letters or any suit, action or proceeding relating to this Commitment Letter, the Fee Letters or the transactions contemplated hereby or thereby or enforcement hereof or thereof.</w:t>
      </w:r>
    </w:p>
    <w:p>
      <w:pPr>
        <w:spacing w:after="0" w:line="2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Each Commitment Party agrees that it will treat as confidential all information provided to it hereunder by or on behalf of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nothing herein will prevent such Commitment Party from disclosing any such information (a) pursuant to the order of any court or administrative agency or in any pending legal or administrative proceeding, or otherwise as required by applicable law or compulsory legal process (in which case such person agrees to inform you promptly thereof to the extent practicable and not prohibited by law), (b) upon the request or demand of any regulatory authority having jurisdiction over such person or any of its affiliates, (c) to the extent that such information is publicly available or becomes publicly available other than by reason of improper disclosure by such person, its affiliates or representatives, (d) to such person’s affiliates and to its and their respective officers, directors, employees, partners, members, advisors, representatives, independent auditors and other experts or agents on a confidential and “need to know” basis, (e) to prospective lenders or other investors, participants or assignees and any direct or indirect contractual counterparties to any swap or derivative transaction relating to the Company, its subsidiaries or its or their obligations under the Term Facilities (or, in each case, any of their respective advisors), in each case, excluding any Disqualified Lender and subject to the recipient’s acknowledgement and acceptance that such information is being provided on a confidential basis (on substantially the terms as set forth in this paragraph or as is otherwise reasonably acceptable to you and the Arrangers, including pursuant to the confidentiality terms set forth on the Marketing Materials) in accordance with the Arrangers’ or other applicable person’s standard syndication process or market standards for dissemination of such type of information, which shall in any event require “click through” or other affirmative action on the part of the recipient to access such confidential information, (f) received by such person on a non-confidential basis from a third party source (other than you or your officers, directors, employees, advisors, agents or other representatives) not known by such person to be prohibited from disclosing such information to such person by a legal, contractual or fiduciary obligation, (g) for purposes of establishing a “due diligence” defense, (h) in connection with the exercise of any remedies hereunder or under the Fee Letters or any suit, action or proceeding relating to this Commitment Letter, the Fee Letters or the transactions contemplated hereby or thereby or enforcement hereof or thereof, (i) to any rating agency on a confidential basis, (j) solely with respect to data about the transaction of the type customarily provided to such entities, to market data collectors and similar services providers to such Commitment Party in connection with the syndication, administration and management of the Term Facilities and (k) with your prior written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other than with respect to the Fee Letters and their terms and substance, the foregoing obligations of the Commitment Parties shall remain in effect until the earlier of (i) two years from the Original Signing Date and (ii) the date of execution of the Facility Documentation, at which time any confidentiality undertaking in the Facility Documentation shall supersede the provisions in this paragraph.</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contained herein, (i) the confidentiality provisions of the Original Commitment Letter shall remain in full force and effect with respect to the Original Commitment Letter and the Original Fee Letter (as defined in the Facilities Fee Letter) in accordance with the terms of the Original Commitment Letter and (ii) the confidentiality provisions of the First Amended and Restated Commitment Letter shall remain in full force and effect with respect to the First Amended and Restated Commitment Letter, the First Amended and Restated Facilities Fee Letter (as defined in the Facilities Fee Letter), the Original MSSF Agent Fee Letter (as defined in the MSSF Agent Fee Letter) and the Original</w:t>
      </w:r>
    </w:p>
    <w:p>
      <w:pPr>
        <w:sectPr>
          <w:pgSz w:w="11900" w:h="16838" w:orient="portrait"/>
          <w:cols w:equalWidth="0" w:num="1">
            <w:col w:w="11240"/>
          </w:cols>
          <w:pgMar w:left="320" w:top="1413" w:right="339" w:bottom="1440" w:gutter="0" w:footer="0" w:header="0"/>
        </w:sectPr>
      </w:pPr>
    </w:p>
    <w:bookmarkStart w:id="61" w:name="page62"/>
    <w:bookmarkEnd w:id="61"/>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JPMCB Agent Fee Letter (as defined in the JPMCB Agent Fee Letter) in accordance with the terms of the First Amended and Restated Commitment Letter.</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it is understood and agreed that nothing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shall impede or prohibit any person from voluntarily disclosing or providing any information within the scope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to any governmental, regulatory or self-regulatory organization (any such entity, a “</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xml:space="preserve">”) to the extent that any such impediment to or prohibition on disclosure set forth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shall be prohibited by the laws or regulations applicable to such Regulatory Authority.</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Company and Citi do not anticipate any disclosure of personal information of California residents to Citi, or any collection or processing of personal information of California residents, in connection with the Transactions and Citi’s services contemplated under this Commitment Letter;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to the extent any California personal information subject to the California Privacy rights Act (“</w:t>
      </w:r>
      <w:r>
        <w:rPr>
          <w:rFonts w:ascii="Times New Roman" w:cs="Times New Roman" w:eastAsia="Times New Roman" w:hAnsi="Times New Roman"/>
          <w:sz w:val="20"/>
          <w:szCs w:val="20"/>
          <w:u w:val="single" w:color="auto"/>
          <w:color w:val="auto"/>
        </w:rPr>
        <w:t>CPRA</w:t>
      </w:r>
      <w:r>
        <w:rPr>
          <w:rFonts w:ascii="Times New Roman" w:cs="Times New Roman" w:eastAsia="Times New Roman" w:hAnsi="Times New Roman"/>
          <w:sz w:val="20"/>
          <w:szCs w:val="20"/>
          <w:color w:val="auto"/>
        </w:rPr>
        <w:t>”) and their implementing regulations is disclosed by the Company to Citi and is covered by the California Privacy Rights Act and its implementing regulations, Citi agrees to process such personal information only for the limited and specified business purposes of facilitating the execution of the Transactions or as otherwise provided by, and in compliance with, the CPRA.</w:t>
      </w:r>
    </w:p>
    <w:p>
      <w:pPr>
        <w:spacing w:after="0" w:line="206"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Affiliate Activities; Absence of Fiduciary Relationship</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You acknowledge that each Commitment Party and its affiliates are full service securities firms engaged, either directly or through their affiliates, in various activities, including securities trading, investment management, financing and brokerage activities and financial planning and benefits counseling for both companies and individuals. In the ordinary course of these activities, each Commitment Party and its affiliates may actively trade the debt and equity securities (or related derivative securities) of the Company, the Target and other companies that may be the subject of the arrangements contemplated by this Commitment Letter for their own accounts and for the accounts of their customers and may at any time hold long and short positions in such securities. Each Commitment Party and its affiliates may also co-invest with, make direct investments in, and invest or co-invest client monies in or with funds or other investment vehicles managed by other parties, and such funds or other investment vehicles may trade or make investments in securities or other debt obligations of the Company, the Target or other companies that may be the subject of the transactions contemplated by this Commitment Letter. Each Commitment Party and its affiliates will have economic interests that are different from or conflict with those of the Company or its subsidiaries regarding the Transactions, and you acknowledge and agree that no Commitment Party has any obligation to disclose such interests to you. You further acknowledge and agree that nothing in this Commitment Letter, the Fee Letters or the nature of our services or in any prior relationship will be deemed to create an advisory, fiduciary or agency relationship between us or any of our respective affiliates, on the one hand, and you, your equity holders or your affiliates, on the other hand, and you waive, to the fullest extent permitted by law, any claims you may have against any Commitment Party or its affiliates for breach of fiduciary duty or alleged breach of fiduciary duty and agree that no Commitment Party or its affiliates will have any liability (whether direct or indirect) to you in respect of such a fiduciary duty claim or to any person asserting a fiduciary duty claim on your behalf, including your equity holders, employees or creditors. You acknowledge that the Transactions (including the exercise of rights and remedies hereunder and under the Fee Letters) are arms’ length commercial transactions and that we are acting as principal and in our own best interests. You are relying on your own experts and advisors to determine whether the Transactions are in your best interests and are capable of evaluating and understanding, and you understand and accept, the terms, risks and conditions of the Transactions. In addition, you acknowledge that we may employ the services of our affiliates in providing</w:t>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49" w:lineRule="auto"/>
        <w:rPr>
          <w:sz w:val="20"/>
          <w:szCs w:val="20"/>
          <w:color w:val="auto"/>
        </w:rPr>
      </w:pPr>
      <w:r>
        <w:rPr>
          <w:rFonts w:ascii="Times New Roman" w:cs="Times New Roman" w:eastAsia="Times New Roman" w:hAnsi="Times New Roman"/>
          <w:sz w:val="20"/>
          <w:szCs w:val="20"/>
          <w:color w:val="auto"/>
        </w:rPr>
        <w:t>certain services hereunder and may exchange with such affiliates information concerning you, the Target and other companies that may be the subject of the Transactions and such affiliates will be entitled to the benefits afforded to us hereunder. In connection with the services and Transactions contemplated hereby, you agree that we are permitted to access, use and share with any of our bank or non-bank affiliates, agents, advisors (legal or otherwise) or representatives any information concerning the Company, the Target or any of their respective affiliates that is or may come into our possession or the possession of any of our affiliates (it being understood that the persons to whom such disclosure is made will be informed of the confidential nature of such information and instructed to keep such information confidential). The Commitment Parties or their affiliates may at any time be a lender under one or more existing credit facilities of the Company and/or the Target (and/or their respective subsidiaries) (in such capacity, an “</w:t>
      </w:r>
      <w:r>
        <w:rPr>
          <w:rFonts w:ascii="Times New Roman" w:cs="Times New Roman" w:eastAsia="Times New Roman" w:hAnsi="Times New Roman"/>
          <w:sz w:val="20"/>
          <w:szCs w:val="20"/>
          <w:u w:val="single" w:color="auto"/>
          <w:color w:val="auto"/>
        </w:rPr>
        <w:t>Existing Lender</w:t>
      </w:r>
      <w:r>
        <w:rPr>
          <w:rFonts w:ascii="Times New Roman" w:cs="Times New Roman" w:eastAsia="Times New Roman" w:hAnsi="Times New Roman"/>
          <w:sz w:val="20"/>
          <w:szCs w:val="20"/>
          <w:color w:val="auto"/>
        </w:rPr>
        <w:t>”). The Company further acknowledges and agrees for itself and its subsidiaries that any such Existing Lender (a) will be acting for its own account as principal in connection with such existing credit facilities, (b) will be under no obligation or duty as a result of a Commitment Party’s role in connection with the transactions contemplated by this Commitment Letter or otherwise to take any action or refrain from taking any action (including with respect to voting for or against any requested amendments), or exercising any rights or remedies, that each Existing Lender may be entitled to take or exercise in respect of such existing credit facilities and (c) may manage its exposure to such existing credit facilities without regard to any Commitment Party’s role hereunder. The Company hereby agrees that each Commitment Party may render its services under this Commitment Letter notwithstanding any actual or potential conflict of interest presented by the foregoing, and agrees that it will not claim any conflict of interest relating to the relationship among such Commitment Party and the Company and its affiliates in connection with the commitments and services contemplated hereby, on the one hand, and the exercise by such Commitment Party or any of its affiliates of any of their rights and duties under any credit agreement or other agreement on the other hand.</w:t>
      </w:r>
    </w:p>
    <w:p>
      <w:pPr>
        <w:spacing w:after="0" w:line="22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Any review by MSSF or any of its affiliates of the Company or Target, the transactions contemplated hereby or other matters relating to such transactions will be performed solely for the benefit of MSSF and shall not be on behalf of the Company, the Target or any other party.</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addition, please note that Morgan Stanley &amp; Co. LLC (“</w:t>
      </w:r>
      <w:r>
        <w:rPr>
          <w:rFonts w:ascii="Times New Roman" w:cs="Times New Roman" w:eastAsia="Times New Roman" w:hAnsi="Times New Roman"/>
          <w:sz w:val="20"/>
          <w:szCs w:val="20"/>
          <w:u w:val="single" w:color="auto"/>
          <w:color w:val="auto"/>
        </w:rPr>
        <w:t>MS&amp;Co.</w:t>
      </w:r>
      <w:r>
        <w:rPr>
          <w:rFonts w:ascii="Times New Roman" w:cs="Times New Roman" w:eastAsia="Times New Roman" w:hAnsi="Times New Roman"/>
          <w:sz w:val="20"/>
          <w:szCs w:val="20"/>
          <w:color w:val="auto"/>
        </w:rPr>
        <w:t>”) has been retained by the Company as a buy-side financial advisor (in such capacity, the “</w:t>
      </w:r>
      <w:r>
        <w:rPr>
          <w:rFonts w:ascii="Times New Roman" w:cs="Times New Roman" w:eastAsia="Times New Roman" w:hAnsi="Times New Roman"/>
          <w:sz w:val="20"/>
          <w:szCs w:val="20"/>
          <w:u w:val="single" w:color="auto"/>
          <w:color w:val="auto"/>
        </w:rPr>
        <w:t>Financial Advisor</w:t>
      </w:r>
      <w:r>
        <w:rPr>
          <w:rFonts w:ascii="Times New Roman" w:cs="Times New Roman" w:eastAsia="Times New Roman" w:hAnsi="Times New Roman"/>
          <w:sz w:val="20"/>
          <w:szCs w:val="20"/>
          <w:color w:val="auto"/>
        </w:rPr>
        <w:t>”) to the Company in connection with the Acquisition. The parties hereto acknowledge such retention, and further agree not to assert or allege any claim based on any actual or potential conflicts of interest that might be asserted to arise or result from, on the one hand, the engagement of the Financial Advisor, and on the other hand, MSSF’s and its affiliates’ relationships with the other parties hereto as described and referred to herein. Each other person that becomes a party hereto acknowledges (i) the retention of MS&amp;Co. as the Financial Advisor and (ii) that such relationship does not create any fiduciary duties or fiduciary responsibilities to such person on the part of MS&amp;Co. or its affiliates.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Consistent with our policies to hold in confidence the affairs of our customers, we will not use or disclose confidential information obtained from you by virtue of the Transactions in connection with our performance of services for any of our other customers. Furthermore, you acknowledge that neither we nor any of our affiliates have an obligation to use in connection with the Transactions, or to furnish to you, confidential information obtained or that may be obtained by us from any other person.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note that the Commitment Parties and their respective affiliates do not provide tax, accounting or legal advice.</w:t>
      </w:r>
    </w:p>
    <w:p>
      <w:pPr>
        <w:spacing w:after="0" w:line="256"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 Governing Law; Submission to Jurisdiction</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63" w:name="page64"/>
    <w:bookmarkEnd w:id="63"/>
    <w:p>
      <w:pPr>
        <w:spacing w:after="0" w:line="2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ANY RIGHT TO TRIAL BY JURY WITH RESPECT TO ANY ACTION, SUIT, PROCEEDING OR CLAIM (WHETHER IN CONTRACT, TORT, OR OTHERWISE AND WHETHER AT LAW OR IN EQUITY) ARISING IN CONNECTION WITH OR AS A RESULT OF ANY MATTER REFERRED TO IN THIS COMMITMENT LETTER, THE FIRST AMENDED AND RESTATED COMMITMENT LETTER, THE ORIGINAL COMMITMENT LETTER, THE FACILITIES FEE LETTER, THE FIRST AMENDED AND RESTATED FACILITIES FEE LETTER (AS DEFINED IN THE FACILITIES FEE LETTER), THE ORIGINAL FEE LETTER (AS DEFINED IN THE FACILITIES FEE LETTER), THE MSSF AGENT FEE LETTER, THE ORIGINAL MSSF AGENT FEE LETTER (AS DEFINED IN THE MSSF AGENT FEE LETTER), THE JPMCB AGENT FEE LETTER, THE ORIGINAL JPMCB AGENT FEE LETTER (AS DEFINED IN THE JPMCB AGENT FEE LETTER) IS HEREBY IRREVOCABLY WAIVED BY THE PARTIES HERETO. THIS COMMITMENT LETTER, THE FIRST AMENDED AND RESTATED COMMITMENT LETTER, THE ORIGINAL COMMITMENT LETTER, THE FACILITIES FEE LETTER, THE FIRST AMENDED AND RESTATED FACILITIES FEE LETTER (AS DEFINED IN THE FACILITIES FEE LETTER), THE ORIGINAL FEE LETTER (AS DEFINED IN THE FACILITIES FEE LETTER), THE MSSF AGENT FEE LETTER, THE ORIGINAL MSSF AGENT FEE LETTER (AS DEFINED IN THE MSSF AGENT FEE LETTER), THE JPMCB AGENT FEE LETTER, THE ORIGINAL JPMCB AGENT FEE LETTER (AS DEFINED IN THE JPMCB AGENT FEE LETTER) AND ANY ACTION, SUIT, PROCEEDING OR CLAIM (WHETHER IN CONTRACT, TORT OR OTHERWISE AND WHETHER AT LAW OR IN EQUITY) BASED UPON, ARISING OUT OF OR RELATING TO THIS COMMITMENT LETTER OR THE OTHER DOCUMENTS REFERENCED IN THIS SENTENCE WILL BE GOVERNED BY AND CONSTRUED IN ACCORDANCE WITH THE LAWS OF THE STATE OF NEW YORK;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 THE INTERPRETATION OF THE DEFINITIONS OF “EFFECT”, “COMPANY MATERIAL ADVERSE EFFECT” AND “PARENT MATERIAL ADVERSE EFFECT” (AND WHETHER OR NOT A “COMPANY MATERIAL ADVERSE EFFECT” OR “PARENT MATERIAL ADVERSE EFFECT” HAS OCCURRED), (B) THE DETERMINATION OF THE ACCURACY OF ANY ACQUISITION AGREEMENT REPRESENTATIONS (AS DEFINED IN </w:t>
      </w:r>
      <w:r>
        <w:rPr>
          <w:rFonts w:ascii="Times New Roman" w:cs="Times New Roman" w:eastAsia="Times New Roman" w:hAnsi="Times New Roman"/>
          <w:sz w:val="19"/>
          <w:szCs w:val="19"/>
          <w:u w:val="single" w:color="auto"/>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HERETO) AND WHETHER YOU OR YOUR APPLICABLE SUBSIDIARY HAVE THE RIGHT TO TERMINATE YOUR OR ITS OBLIGATIONS UNDER THE ACQUISITION AGREEMENT OR TO DECLINE TO CONSUMMATE THE ACQUISITION AS A RESULT OF ANY INACCURACY OF ANY ACQUISITION AGREEMENT REPRESENTATION AND (C) THE DETERMINATION OF WHETHER THE ACQUISITION HAS BEEN CONSUMMATED IN ACCORDANCE WITH THE TERMS OF THE ACQUISITION AGREEMENT SHALL, IN EACH CASE, BE CONSTRUED AND ENFORCED IN ACCORDANCE WITH THE LAWS OF THE STATE OF DELAWARE APPLICABLE TO AGREEMENTS MADE TO BE PERFORMED SOLELY THEREIN (INCLUDING THE PROCEDURAL LAWS AND THE LAWS RELATING TO THE STATUTE OF LIMITATIONS), WITHOUT GIVING EFFECT TO ANY LAW OR PRINCIPLE THE APPLICATION OF WHICH WOULD RESULT IN THE LAW OF ANOTHER JURISDICTION GOVERNING THE TERMS THEREOF. Each of the parties hereto hereby irrevocably (a) submits, for itself and its property, to the jurisdiction of (i) the Supreme Court of the State of New York, New York County, and (ii) the United States District Court for the Southern District of New York, located in the Borough of Manhattan, and any appellate court from any such court, in any action, suit, proceeding or claim arising out of or relating to this Commitment Letter, the First Amended and Restated Commitment Letter, the Original Commitment Letter, the Facilities Fee Letter, the First Amended and Restated Facilities Fee Letter (as defined in the Facilities Fee Letter), the Original Fee Letter (as defined in the Facilities Fee Letter), the MSSF Agent Fee Letter, the Original MSSF Agent Fee Letter (as defined in the MSSF Agent Fee Letter), the JPMCB Agent Fee Letter, the Original JPMCB Agent Fee Letter (as defined in the JPMCB Agent Fee Letter) or the Transactions or the performance of services contemplated</w:t>
      </w:r>
    </w:p>
    <w:p>
      <w:pPr>
        <w:sectPr>
          <w:pgSz w:w="11900" w:h="16838" w:orient="portrait"/>
          <w:cols w:equalWidth="0" w:num="1">
            <w:col w:w="11240"/>
          </w:cols>
          <w:pgMar w:left="320" w:top="1440" w:right="339" w:bottom="1440" w:gutter="0" w:footer="0" w:header="0"/>
        </w:sectPr>
      </w:pPr>
    </w:p>
    <w:bookmarkStart w:id="64" w:name="page65"/>
    <w:bookmarkEnd w:id="64"/>
    <w:p>
      <w:pPr>
        <w:jc w:val="both"/>
        <w:spacing w:after="0" w:line="251" w:lineRule="auto"/>
        <w:rPr>
          <w:sz w:val="20"/>
          <w:szCs w:val="20"/>
          <w:color w:val="auto"/>
        </w:rPr>
      </w:pPr>
      <w:r>
        <w:rPr>
          <w:rFonts w:ascii="Times New Roman" w:cs="Times New Roman" w:eastAsia="Times New Roman" w:hAnsi="Times New Roman"/>
          <w:sz w:val="20"/>
          <w:szCs w:val="20"/>
          <w:color w:val="auto"/>
        </w:rPr>
        <w:t>hereunder or thereunder, or for recognition or enforcement of any judgment, and agrees that all claims in respect of any such action, suit, proceeding or claim shall be heard and determined exclusively in such New York State court or such Federal court, (b) waives, to the fullest extent permitted by law, any objection that it may now or hereafter have to the laying of venue of any action, suit, proceeding or claim arising out of or relating to this Commitment Letter, the First Amended and Restated Commitment Letter, the Original Commitment Letter, the Facilities Fee Letter, the First Amended and Restated Facilities Fee Letter (as defined in the Facilities Fee Letter), the Original Fee Letter (as defined in the Facilities Fee Letter), the MSSF Agent Fee Letter, the Original MSSF Agent Fee Letter (as defined in the MSSF Agent Fee Letter), the JPMCB Agent Fee Letter, the Original JPMCB Agent Fee Letter (as defined in the JPMCB Agent Fee Letter), the Transactions or the performance of services contemplated hereunder or thereunder in any such New York State or Federal court and (c) waives, to the fullest extent permitted by law, the defense of an inconvenient forum to the maintenance of any such action, suit, proceeding or claim in any such court. Each of the parties hereto agrees to commence any such action, suit, proceeding or claim either in the United States District Court for the Southern District of New York, located in the Borough of Manhattan or in the Supreme Court of the State of New York, New York County.</w:t>
      </w:r>
    </w:p>
    <w:p>
      <w:pPr>
        <w:spacing w:after="0" w:line="205"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Survival; Miscellaneous; Acceptance</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commitments hereunder and our agreements to provide the services described herein will terminate upon the first to occur of (a) the date of consummation of the Acquisition, effective immediately following such consummation, with or without the use of the Term Facilities, (b) the valid termination of the Acquisition Agreement prior to the consummation of the Acquisition in accordance with the terms thereof (and you hereby agree to notify us promptly of such termination), (c) the execution and delivery of the Facility Documentation by the Company and the other parties thereto (which commitments and agreements hereunder, subject to the following paragraph, shall thereby be superseded by the corresponding commitments and certain agreements under the Facility Documentation), and (d) the date that is five business days after the “End Date” (as defined in the Acquisition Agreement as in effect on the Original Signing Date), as the End Date may be extended from time to time pursuant to Section 6.1(b) of the Acquisition Agreement as in effect on the Original Signing Date (such earliest date described in this clause, the “</w:t>
      </w:r>
      <w:r>
        <w:rPr>
          <w:rFonts w:ascii="Times New Roman" w:cs="Times New Roman" w:eastAsia="Times New Roman" w:hAnsi="Times New Roman"/>
          <w:sz w:val="20"/>
          <w:szCs w:val="20"/>
          <w:u w:val="single" w:color="auto"/>
          <w:color w:val="auto"/>
        </w:rPr>
        <w:t>Commitment Termination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termination of commitments and agreements pursuant to this sentence does not preclude our or your rights and remedies in respect of any breach of this Commitment Letter or the Fee Letters during the term thereof.</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provisions set forth in </w:t>
      </w:r>
      <w:r>
        <w:rPr>
          <w:rFonts w:ascii="Times New Roman" w:cs="Times New Roman" w:eastAsia="Times New Roman" w:hAnsi="Times New Roman"/>
          <w:sz w:val="20"/>
          <w:szCs w:val="20"/>
          <w:u w:val="single" w:color="auto"/>
          <w:color w:val="auto"/>
        </w:rPr>
        <w:t>Sections 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hereof and this paragraph and the provisions of the Fee Letters will remain in full force and effect regardless of whether the Facility Documentation is executed and delivered;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your obligations under </w:t>
      </w:r>
      <w:r>
        <w:rPr>
          <w:rFonts w:ascii="Times New Roman" w:cs="Times New Roman" w:eastAsia="Times New Roman" w:hAnsi="Times New Roman"/>
          <w:sz w:val="20"/>
          <w:szCs w:val="20"/>
          <w:u w:val="single" w:color="auto"/>
          <w:color w:val="auto"/>
        </w:rPr>
        <w:t>Sections 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hereof shall, to the extent covered by the Facility Documentation, be superseded by the corresponding provisions set forth in the Facility Documentation upon the execution and delivery of the Facility Documentation by the Company and the other parties thereto. If Facility Documentation is not executed and delivered, the provisions set forth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hereof and this paragraph and the provisions of the Fee Letters will remain in full force and effect notwithstanding the expiration or termination of this Commitment Letter or any Commitment Party’s commitment and agreements hereunder.</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This Commitment Letter is intended to be solely for the benefit of the parties hereto (and the Indemnified Persons), and is not intended to confer any benefits upon, or create any rights in favor of or be enforceable by or at the request of, any person (including stockholders, employees or creditors of the Company) other than the parties hereto (and the Indemnified Persons). Each of the parties hereto agrees that this Commitment Letter is a binding and enforceable agreement with respect to the subject matter contained herein, including an agreement to negotiate in good faith the Facility Documentation by the</w:t>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parties hereto in a manner consistent with this Commitment Letter, it being acknowledged and agreed that the commitment provided hereunder is subject solely to conditions precedent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This Commitment Letter may not be amended or any term or provision hereof waived or modified except by an instrument in writing signed by each of the parties hereto or, to the extent relating only to the rights and obligations of MSSF, by MSSF and the Company. This Commitment Letter may be executed in any number of counterparts, each of which when executed will be an original and all of which, when taken together, will constitute one agreement. Delivery of an executed counterpart of a signature page of this Commitment Letter by email or other electronic transmission will be as effective as delivery of a manually executed counterpart hereof. Any signature to this Commitment Letter (or any Joinder Agreement or any other amendment hereto)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This Commitment Letter and the Fee Letters are the only agreements that have been entered into by the parties hereto with respect to the Term Facilities and set forth the entire understanding of the parties hereto with respect to thereto. Section headings used herein are for convenience of reference only, are not part of this Commitment Letter and are not to affect the construction of, or to be taken into consideration in interpreting, this Commitment Letter.</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THIS COMMITMENT LETTER REPRESENTS THE FINAL AGREEMENT BETWEEN THE PARTIES AND MAY NOT BE CONTRADICTED BY EVIDENCE OF PRIOR, CONTEMPORANEOUS, OR SUBSEQUENT ORAL AGREEMENTS OF THE PARTIES. THERE ARE NO UNWRITTEN ORAL AGREEMENTS AMONG THE PARTIES.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Please confirm that the foregoing is in accordance with your understanding by signing and returning the enclosed copy of this Commitment Letter and the Fee Letters on or before 11:59 p.m., New York City time, on October 19, 2026 (the date on which you execute the Commitment Letter and Fee Letters being referred to as, the “</w:t>
      </w:r>
      <w:r>
        <w:rPr>
          <w:rFonts w:ascii="Times New Roman" w:cs="Times New Roman" w:eastAsia="Times New Roman" w:hAnsi="Times New Roman"/>
          <w:sz w:val="20"/>
          <w:szCs w:val="20"/>
          <w:u w:val="single" w:color="auto"/>
          <w:color w:val="auto"/>
        </w:rPr>
        <w:t>Countersign Date</w:t>
      </w:r>
      <w:r>
        <w:rPr>
          <w:rFonts w:ascii="Times New Roman" w:cs="Times New Roman" w:eastAsia="Times New Roman" w:hAnsi="Times New Roman"/>
          <w:sz w:val="20"/>
          <w:szCs w:val="20"/>
          <w:color w:val="auto"/>
        </w:rPr>
        <w:t>”), whereupon this Commitment Letter and the Fee Letters will become binding agreements between us and you.</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is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color w:val="auto"/>
        </w:rPr>
        <w:t>We look forward to working with you on this assignment.</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MORGAN STANLEY SENIOR FUNDING, INC.</w:t>
      </w:r>
    </w:p>
    <w:p>
      <w:pPr>
        <w:spacing w:after="0" w:line="2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Andrew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5005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Andrew Doherty</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10139"/>
          </w:cols>
          <w:pgMar w:left="320" w:top="1413" w:right="1440" w:bottom="1440" w:gutter="0" w:footer="0" w:header="0"/>
        </w:sectPr>
      </w:pPr>
    </w:p>
    <w:bookmarkStart w:id="67" w:name="page68"/>
    <w:bookmarkEnd w:id="67"/>
    <w:p>
      <w:pPr>
        <w:ind w:left="2780"/>
        <w:spacing w:after="0"/>
        <w:rPr>
          <w:sz w:val="20"/>
          <w:szCs w:val="20"/>
          <w:color w:val="auto"/>
        </w:rPr>
      </w:pPr>
      <w:r>
        <w:rPr>
          <w:rFonts w:ascii="Times New Roman" w:cs="Times New Roman" w:eastAsia="Times New Roman" w:hAnsi="Times New Roman"/>
          <w:sz w:val="19"/>
          <w:szCs w:val="19"/>
          <w:b w:val="1"/>
          <w:bCs w:val="1"/>
          <w:color w:val="auto"/>
        </w:rPr>
        <w:t>JPMORGAN CHASE BANK, N.A.</w:t>
      </w: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Monica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166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Monica Knight</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9019"/>
          </w:cols>
          <w:pgMar w:left="1440" w:top="1409" w:right="1440" w:bottom="1440" w:gutter="0" w:footer="0" w:header="0"/>
        </w:sectPr>
      </w:pPr>
    </w:p>
    <w:bookmarkStart w:id="68" w:name="page69"/>
    <w:bookmarkEnd w:id="68"/>
    <w:p>
      <w:pPr>
        <w:ind w:left="2780"/>
        <w:spacing w:after="0"/>
        <w:rPr>
          <w:sz w:val="20"/>
          <w:szCs w:val="20"/>
          <w:color w:val="auto"/>
        </w:rPr>
      </w:pPr>
      <w:r>
        <w:rPr>
          <w:rFonts w:ascii="Times New Roman" w:cs="Times New Roman" w:eastAsia="Times New Roman" w:hAnsi="Times New Roman"/>
          <w:sz w:val="19"/>
          <w:szCs w:val="19"/>
          <w:b w:val="1"/>
          <w:bCs w:val="1"/>
          <w:color w:val="auto"/>
        </w:rPr>
        <w:t>BANK OF AMERICA, N.A.</w:t>
      </w: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Sanjay Rijhwani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86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Sanjay Rijihwani</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409" w:right="1440" w:bottom="1440" w:gutter="0" w:footer="0" w:header="0"/>
        </w:sectPr>
      </w:pPr>
    </w:p>
    <w:bookmarkStart w:id="69" w:name="page70"/>
    <w:bookmarkEnd w:id="69"/>
    <w:p>
      <w:pPr>
        <w:ind w:left="2780"/>
        <w:spacing w:after="0"/>
        <w:rPr>
          <w:sz w:val="20"/>
          <w:szCs w:val="20"/>
          <w:color w:val="auto"/>
        </w:rPr>
      </w:pPr>
      <w:r>
        <w:rPr>
          <w:rFonts w:ascii="Times New Roman" w:cs="Times New Roman" w:eastAsia="Times New Roman" w:hAnsi="Times New Roman"/>
          <w:sz w:val="19"/>
          <w:szCs w:val="19"/>
          <w:b w:val="1"/>
          <w:bCs w:val="1"/>
          <w:color w:val="auto"/>
        </w:rPr>
        <w:t>HSBC BANK USA, NATIONAL ASSOCIATION</w:t>
      </w: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David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700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David Barth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HSBC SECURITIES (USA) INC.</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David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700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David Barth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409" w:right="1440" w:bottom="1440" w:gutter="0" w:footer="0" w:header="0"/>
        </w:sectPr>
      </w:pPr>
    </w:p>
    <w:bookmarkStart w:id="70" w:name="page71"/>
    <w:bookmarkEnd w:id="70"/>
    <w:p>
      <w:pPr>
        <w:ind w:left="2780"/>
        <w:spacing w:after="0"/>
        <w:rPr>
          <w:sz w:val="20"/>
          <w:szCs w:val="20"/>
          <w:color w:val="auto"/>
        </w:rPr>
      </w:pPr>
      <w:r>
        <w:rPr>
          <w:rFonts w:ascii="Times New Roman" w:cs="Times New Roman" w:eastAsia="Times New Roman" w:hAnsi="Times New Roman"/>
          <w:sz w:val="20"/>
          <w:szCs w:val="20"/>
          <w:b w:val="1"/>
          <w:bCs w:val="1"/>
          <w:color w:val="auto"/>
        </w:rPr>
        <w:t>HSBC BANK PLC</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James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979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James Steele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Title: Relationship Manager</w:t>
      </w:r>
    </w:p>
    <w:p>
      <w:pPr>
        <w:sectPr>
          <w:pgSz w:w="11900" w:h="16838" w:orient="portrait"/>
          <w:cols w:equalWidth="0" w:num="1">
            <w:col w:w="9019"/>
          </w:cols>
          <w:pgMar w:left="1440" w:top="1409" w:right="1440" w:bottom="1440" w:gutter="0" w:footer="0" w:header="0"/>
        </w:sectPr>
      </w:pPr>
    </w:p>
    <w:bookmarkStart w:id="71" w:name="page72"/>
    <w:bookmarkEnd w:id="71"/>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CITIGROUP GLOBAL MARKETS INC.</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Martin Corrigan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725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Martin Corrigan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09" w:right="1440" w:bottom="1440" w:gutter="0" w:footer="0" w:header="0"/>
        </w:sectPr>
      </w:pPr>
    </w:p>
    <w:bookmarkStart w:id="72" w:name="page73"/>
    <w:bookmarkEnd w:id="72"/>
    <w:p>
      <w:pPr>
        <w:ind w:left="2780"/>
        <w:spacing w:after="0"/>
        <w:rPr>
          <w:sz w:val="20"/>
          <w:szCs w:val="20"/>
          <w:color w:val="auto"/>
        </w:rPr>
      </w:pPr>
      <w:r>
        <w:rPr>
          <w:rFonts w:ascii="Times New Roman" w:cs="Times New Roman" w:eastAsia="Times New Roman" w:hAnsi="Times New Roman"/>
          <w:sz w:val="19"/>
          <w:szCs w:val="19"/>
          <w:b w:val="1"/>
          <w:bCs w:val="1"/>
          <w:color w:val="auto"/>
        </w:rPr>
        <w:t>Crédit Agricole Corporate &amp; Investment Bank</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Kevin Gay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001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Kevin Gay</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Crédit Agricole Corporate &amp; Investment Bank</w:t>
      </w: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071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Paul Arens</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09" w:right="1440" w:bottom="1440" w:gutter="0" w:footer="0" w:header="0"/>
        </w:sectPr>
      </w:pPr>
    </w:p>
    <w:bookmarkStart w:id="73" w:name="page74"/>
    <w:bookmarkEnd w:id="73"/>
    <w:p>
      <w:pPr>
        <w:jc w:val="center"/>
        <w:ind w:right="-14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Jackson Langham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306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Jackson Langham</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PNC CAPITAL MARKETS LLC</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Jackson Langham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306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Jackson Langham</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09" w:right="1440" w:bottom="1440" w:gutter="0" w:footer="0" w:header="0"/>
        </w:sectPr>
      </w:pPr>
    </w:p>
    <w:bookmarkStart w:id="74" w:name="page75"/>
    <w:bookmarkEnd w:id="74"/>
    <w:p>
      <w:pPr>
        <w:ind w:left="2780"/>
        <w:spacing w:after="0"/>
        <w:rPr>
          <w:sz w:val="20"/>
          <w:szCs w:val="20"/>
          <w:color w:val="auto"/>
        </w:rPr>
      </w:pPr>
      <w:r>
        <w:rPr>
          <w:rFonts w:ascii="Times New Roman" w:cs="Times New Roman" w:eastAsia="Times New Roman" w:hAnsi="Times New Roman"/>
          <w:sz w:val="19"/>
          <w:szCs w:val="19"/>
          <w:b w:val="1"/>
          <w:bCs w:val="1"/>
          <w:color w:val="auto"/>
        </w:rPr>
        <w:t>BMO Capital Markets Corp.</w:t>
      </w:r>
    </w:p>
    <w:p>
      <w:pPr>
        <w:spacing w:after="0" w:line="200" w:lineRule="exact"/>
        <w:rPr>
          <w:sz w:val="20"/>
          <w:szCs w:val="20"/>
          <w:color w:val="auto"/>
        </w:rPr>
      </w:pPr>
    </w:p>
    <w:p>
      <w:pPr>
        <w:spacing w:after="0" w:line="315"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By: /s/</w:t>
      </w:r>
      <w:r>
        <w:rPr>
          <w:sz w:val="20"/>
          <w:szCs w:val="20"/>
          <w:color w:val="auto"/>
        </w:rPr>
        <w:tab/>
      </w:r>
      <w:r>
        <w:rPr>
          <w:rFonts w:ascii="Times New Roman" w:cs="Times New Roman" w:eastAsia="Times New Roman" w:hAnsi="Times New Roman"/>
          <w:sz w:val="19"/>
          <w:szCs w:val="19"/>
          <w:color w:val="auto"/>
        </w:rPr>
        <w:t>Matthew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833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Matthew Lynn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BMO Bank, N.A.</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Darryl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725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Darryl Jacobson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Bank of Montreal</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Matthew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3887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Matthew Lynn</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409" w:right="1440" w:bottom="1440" w:gutter="0" w:footer="0" w:header="0"/>
        </w:sectPr>
      </w:pPr>
    </w:p>
    <w:bookmarkStart w:id="75" w:name="page76"/>
    <w:bookmarkEnd w:id="75"/>
    <w:p>
      <w:pPr>
        <w:ind w:left="2780"/>
        <w:spacing w:after="0"/>
        <w:rPr>
          <w:sz w:val="20"/>
          <w:szCs w:val="20"/>
          <w:color w:val="auto"/>
        </w:rPr>
      </w:pPr>
      <w:r>
        <w:rPr>
          <w:rFonts w:ascii="Times New Roman" w:cs="Times New Roman" w:eastAsia="Times New Roman" w:hAnsi="Times New Roman"/>
          <w:sz w:val="19"/>
          <w:szCs w:val="19"/>
          <w:b w:val="1"/>
          <w:bCs w:val="1"/>
          <w:color w:val="auto"/>
        </w:rPr>
        <w:t>Sumitomo Mitsui Banking Corporation</w:t>
      </w: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909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Nabeel Shah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Executive Director</w:t>
      </w:r>
    </w:p>
    <w:p>
      <w:pPr>
        <w:sectPr>
          <w:pgSz w:w="11900" w:h="16838" w:orient="portrait"/>
          <w:cols w:equalWidth="0" w:num="1">
            <w:col w:w="9019"/>
          </w:cols>
          <w:pgMar w:left="1440" w:top="1409" w:right="1440" w:bottom="1440" w:gutter="0" w:footer="0" w:header="0"/>
        </w:sectPr>
      </w:pPr>
    </w:p>
    <w:bookmarkStart w:id="76" w:name="page77"/>
    <w:bookmarkEnd w:id="76"/>
    <w:p>
      <w:pPr>
        <w:ind w:left="2780"/>
        <w:spacing w:after="0"/>
        <w:rPr>
          <w:sz w:val="20"/>
          <w:szCs w:val="20"/>
          <w:color w:val="auto"/>
        </w:rPr>
      </w:pPr>
      <w:r>
        <w:rPr>
          <w:rFonts w:ascii="Times New Roman" w:cs="Times New Roman" w:eastAsia="Times New Roman" w:hAnsi="Times New Roman"/>
          <w:sz w:val="20"/>
          <w:szCs w:val="20"/>
          <w:b w:val="1"/>
          <w:bCs w:val="1"/>
          <w:color w:val="auto"/>
        </w:rPr>
        <w:t>Royal Bank of Canada</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Michael Heuff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3862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Michael Heuff</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Title: Global Co-Head of Leveraged Finance and Capital Markets</w:t>
      </w:r>
    </w:p>
    <w:p>
      <w:pPr>
        <w:sectPr>
          <w:pgSz w:w="11900" w:h="16838" w:orient="portrait"/>
          <w:cols w:equalWidth="0" w:num="1">
            <w:col w:w="9019"/>
          </w:cols>
          <w:pgMar w:left="1440" w:top="1409" w:right="1440" w:bottom="1440" w:gutter="0" w:footer="0" w:header="0"/>
        </w:sectPr>
      </w:pPr>
    </w:p>
    <w:bookmarkStart w:id="77" w:name="page78"/>
    <w:bookmarkEnd w:id="77"/>
    <w:p>
      <w:pPr>
        <w:ind w:left="2780"/>
        <w:spacing w:after="0"/>
        <w:rPr>
          <w:sz w:val="20"/>
          <w:szCs w:val="20"/>
          <w:color w:val="auto"/>
        </w:rPr>
      </w:pPr>
      <w:r>
        <w:rPr>
          <w:rFonts w:ascii="Times New Roman" w:cs="Times New Roman" w:eastAsia="Times New Roman" w:hAnsi="Times New Roman"/>
          <w:sz w:val="20"/>
          <w:szCs w:val="20"/>
          <w:b w:val="1"/>
          <w:bCs w:val="1"/>
          <w:color w:val="auto"/>
        </w:rPr>
        <w:t>Truist Securities, Inc.</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Andrew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65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Andrew Spiegel</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Truist Bank</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 Alfonso Brigham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-3810</wp:posOffset>
            </wp:positionV>
            <wp:extent cx="14027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Name: Alfonso Brigham</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1409" w:right="1440" w:bottom="1440" w:gutter="0" w:footer="0" w:header="0"/>
        </w:sectPr>
      </w:pPr>
    </w:p>
    <w:bookmarkStart w:id="78" w:name="page79"/>
    <w:bookmarkEnd w:id="78"/>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KBC BANK N.V., NEW YORK BRANCH</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Nicholas Fiore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700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Nicholas Fiore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Wei-Chun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361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Wei-Chun Wang</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409" w:right="1440" w:bottom="1440" w:gutter="0" w:footer="0" w:header="0"/>
        </w:sectPr>
      </w:pPr>
    </w:p>
    <w:bookmarkStart w:id="79" w:name="page80"/>
    <w:bookmarkEnd w:id="79"/>
    <w:p>
      <w:pPr>
        <w:ind w:left="2780"/>
        <w:spacing w:after="0"/>
        <w:rPr>
          <w:sz w:val="20"/>
          <w:szCs w:val="20"/>
          <w:color w:val="auto"/>
        </w:rPr>
      </w:pPr>
      <w:r>
        <w:rPr>
          <w:rFonts w:ascii="Times New Roman" w:cs="Times New Roman" w:eastAsia="Times New Roman" w:hAnsi="Times New Roman"/>
          <w:sz w:val="19"/>
          <w:szCs w:val="19"/>
          <w:b w:val="1"/>
          <w:bCs w:val="1"/>
          <w:color w:val="auto"/>
        </w:rPr>
        <w:t>Standard Chartered Bank</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Brendan Heneghan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935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Brendan Heneghan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Executive Director</w:t>
      </w:r>
    </w:p>
    <w:p>
      <w:pPr>
        <w:sectPr>
          <w:pgSz w:w="11900" w:h="16838" w:orient="portrait"/>
          <w:cols w:equalWidth="0" w:num="1">
            <w:col w:w="9019"/>
          </w:cols>
          <w:pgMar w:left="1440" w:top="1409" w:right="1440" w:bottom="1440" w:gutter="0" w:footer="0" w:header="0"/>
        </w:sectPr>
      </w:pPr>
    </w:p>
    <w:bookmarkStart w:id="80" w:name="page81"/>
    <w:bookmarkEnd w:id="80"/>
    <w:p>
      <w:pPr>
        <w:ind w:left="2780"/>
        <w:spacing w:after="0"/>
        <w:rPr>
          <w:sz w:val="20"/>
          <w:szCs w:val="20"/>
          <w:color w:val="auto"/>
        </w:rPr>
      </w:pPr>
      <w:r>
        <w:rPr>
          <w:rFonts w:ascii="Times New Roman" w:cs="Times New Roman" w:eastAsia="Times New Roman" w:hAnsi="Times New Roman"/>
          <w:sz w:val="19"/>
          <w:szCs w:val="19"/>
          <w:b w:val="1"/>
          <w:bCs w:val="1"/>
          <w:color w:val="auto"/>
        </w:rPr>
        <w:t>BARCLAYS BANK PLC</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John Skrobe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151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John Skrobe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ectPr>
          <w:pgSz w:w="11900" w:h="16838" w:orient="portrait"/>
          <w:cols w:equalWidth="0" w:num="1">
            <w:col w:w="9019"/>
          </w:cols>
          <w:pgMar w:left="1440" w:top="1409"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color w:val="auto"/>
        </w:rPr>
        <w:t>ACCEPTED AND AGREED TO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 SEMICONDUCTOR CORPORATION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096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Name: Thad Trent</w:t>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Title: Executive Vice President and Chief Financial Officer</w:t>
      </w:r>
    </w:p>
    <w:p>
      <w:pPr>
        <w:sectPr>
          <w:pgSz w:w="11900" w:h="16838" w:orient="portrait"/>
          <w:cols w:equalWidth="0" w:num="1">
            <w:col w:w="10139"/>
          </w:cols>
          <w:pgMar w:left="320" w:top="1413"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43"/>
        </w:trPr>
        <w:tc>
          <w:tcPr>
            <w:tcW w:w="1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SCHEDULE A</w:t>
            </w:r>
          </w:p>
        </w:tc>
      </w:tr>
      <w:tr>
        <w:trPr>
          <w:trHeight w:val="258"/>
        </w:trPr>
        <w:tc>
          <w:tcPr>
            <w:tcW w:w="16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CONFIDENTIAL</w:t>
            </w:r>
          </w:p>
        </w:tc>
      </w:tr>
      <w:tr>
        <w:trPr>
          <w:trHeight w:val="426"/>
        </w:trPr>
        <w:tc>
          <w:tcPr>
            <w:tcW w:w="1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Commitment Schedule</w:t>
            </w: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Commitment Party</w:t>
            </w:r>
          </w:p>
        </w:tc>
        <w:tc>
          <w:tcPr>
            <w:tcW w:w="3820" w:type="dxa"/>
            <w:vAlign w:val="bottom"/>
            <w:gridSpan w:val="6"/>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Term Loan A Credit Facility Commitment</w:t>
            </w:r>
          </w:p>
        </w:tc>
        <w:tc>
          <w:tcPr>
            <w:tcW w:w="3760" w:type="dxa"/>
            <w:vAlign w:val="bottom"/>
            <w:gridSpan w:val="4"/>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Term Loan B Credit Facility Commitment</w:t>
            </w:r>
          </w:p>
        </w:tc>
      </w:tr>
      <w:tr>
        <w:trPr>
          <w:trHeight w:val="169"/>
        </w:trPr>
        <w:tc>
          <w:tcPr>
            <w:tcW w:w="1640" w:type="dxa"/>
            <w:vAlign w:val="bottom"/>
            <w:tcBorders>
              <w:top w:val="single" w:sz="8" w:color="auto"/>
            </w:tcBorders>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gridSpan w:val="3"/>
          </w:tcPr>
          <w:p>
            <w:pPr>
              <w:jc w:val="center"/>
              <w:ind w:right="1340"/>
              <w:spacing w:after="0" w:line="169" w:lineRule="exact"/>
              <w:rPr>
                <w:sz w:val="20"/>
                <w:szCs w:val="20"/>
                <w:color w:val="auto"/>
              </w:rPr>
            </w:pPr>
            <w:r>
              <w:rPr>
                <w:rFonts w:ascii="Times New Roman" w:cs="Times New Roman" w:eastAsia="Times New Roman" w:hAnsi="Times New Roman"/>
                <w:sz w:val="19"/>
                <w:szCs w:val="19"/>
                <w:b w:val="1"/>
                <w:bCs w:val="1"/>
                <w:color w:val="auto"/>
              </w:rPr>
              <w:t>Percentage</w:t>
            </w:r>
          </w:p>
        </w:tc>
        <w:tc>
          <w:tcPr>
            <w:tcW w:w="220" w:type="dxa"/>
            <w:vAlign w:val="bottom"/>
          </w:tcPr>
          <w:p>
            <w:pPr>
              <w:spacing w:after="0"/>
              <w:rPr>
                <w:sz w:val="14"/>
                <w:szCs w:val="14"/>
                <w:color w:val="auto"/>
              </w:rPr>
            </w:pPr>
          </w:p>
        </w:tc>
        <w:tc>
          <w:tcPr>
            <w:tcW w:w="358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9"/>
                <w:szCs w:val="19"/>
                <w:b w:val="1"/>
                <w:bCs w:val="1"/>
                <w:color w:val="auto"/>
              </w:rPr>
              <w:t>Percentage</w:t>
            </w:r>
          </w:p>
        </w:tc>
        <w:tc>
          <w:tcPr>
            <w:tcW w:w="180" w:type="dxa"/>
            <w:vAlign w:val="bottom"/>
          </w:tcPr>
          <w:p>
            <w:pPr>
              <w:spacing w:after="0"/>
              <w:rPr>
                <w:sz w:val="14"/>
                <w:szCs w:val="14"/>
                <w:color w:val="auto"/>
              </w:rPr>
            </w:pPr>
          </w:p>
        </w:tc>
      </w:tr>
      <w:tr>
        <w:trPr>
          <w:trHeight w:val="20"/>
        </w:trPr>
        <w:tc>
          <w:tcPr>
            <w:tcW w:w="35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5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MORGAN STANLEY SENIOR</w:t>
            </w:r>
          </w:p>
        </w:tc>
        <w:tc>
          <w:tcPr>
            <w:tcW w:w="2920" w:type="dxa"/>
            <w:vAlign w:val="bottom"/>
            <w:gridSpan w:val="4"/>
          </w:tcPr>
          <w:p>
            <w:pPr>
              <w:jc w:val="center"/>
              <w:ind w:left="581"/>
              <w:spacing w:after="0" w:line="223" w:lineRule="exact"/>
              <w:rPr>
                <w:sz w:val="20"/>
                <w:szCs w:val="20"/>
                <w:color w:val="auto"/>
              </w:rPr>
            </w:pPr>
            <w:r>
              <w:rPr>
                <w:rFonts w:ascii="Times New Roman" w:cs="Times New Roman" w:eastAsia="Times New Roman" w:hAnsi="Times New Roman"/>
                <w:sz w:val="20"/>
                <w:szCs w:val="20"/>
                <w:color w:val="auto"/>
                <w:w w:val="98"/>
              </w:rPr>
              <w:t>9.375000000%</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gridSpan w:val="3"/>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25.000000000000000%</w:t>
            </w:r>
          </w:p>
        </w:tc>
        <w:tc>
          <w:tcPr>
            <w:tcW w:w="180" w:type="dxa"/>
            <w:vAlign w:val="bottom"/>
          </w:tcPr>
          <w:p>
            <w:pPr>
              <w:spacing w:after="0"/>
              <w:rPr>
                <w:sz w:val="19"/>
                <w:szCs w:val="19"/>
                <w:color w:val="auto"/>
              </w:rPr>
            </w:pPr>
          </w:p>
        </w:tc>
      </w:tr>
      <w:tr>
        <w:trPr>
          <w:trHeight w:val="24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FUNDING, INC.</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JPMORGAN CHASE BANK, N.A.</w:t>
            </w:r>
          </w:p>
        </w:tc>
        <w:tc>
          <w:tcPr>
            <w:tcW w:w="292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auto"/>
                <w:w w:val="98"/>
              </w:rPr>
              <w:t>10.937500000%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9.051724137931030%</w:t>
            </w:r>
          </w:p>
        </w:tc>
        <w:tc>
          <w:tcPr>
            <w:tcW w:w="180" w:type="dxa"/>
            <w:vAlign w:val="bottom"/>
          </w:tcPr>
          <w:p>
            <w:pPr>
              <w:spacing w:after="0"/>
              <w:rPr>
                <w:sz w:val="22"/>
                <w:szCs w:val="22"/>
                <w:color w:val="auto"/>
              </w:rPr>
            </w:pPr>
          </w:p>
        </w:tc>
      </w:tr>
      <w:tr>
        <w:trPr>
          <w:trHeight w:val="272"/>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BANK OF AMERICA, N.A.</w:t>
            </w:r>
          </w:p>
        </w:tc>
        <w:tc>
          <w:tcPr>
            <w:tcW w:w="292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auto"/>
                <w:w w:val="98"/>
              </w:rPr>
              <w:t>10.937500000%</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9.051724137931030%</w:t>
            </w:r>
          </w:p>
        </w:tc>
        <w:tc>
          <w:tcPr>
            <w:tcW w:w="180" w:type="dxa"/>
            <w:vAlign w:val="bottom"/>
          </w:tcPr>
          <w:p>
            <w:pPr>
              <w:spacing w:after="0"/>
              <w:rPr>
                <w:sz w:val="23"/>
                <w:szCs w:val="23"/>
                <w:color w:val="auto"/>
              </w:rPr>
            </w:pPr>
          </w:p>
        </w:tc>
      </w:tr>
      <w:tr>
        <w:trPr>
          <w:trHeight w:val="331"/>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HSBC BANK USA, NATIONAL</w:t>
            </w:r>
          </w:p>
        </w:tc>
        <w:tc>
          <w:tcPr>
            <w:tcW w:w="2920" w:type="dxa"/>
            <w:vAlign w:val="bottom"/>
            <w:gridSpan w:val="4"/>
          </w:tcPr>
          <w:p>
            <w:pPr>
              <w:jc w:val="center"/>
              <w:ind w:left="581"/>
              <w:spacing w:after="0"/>
              <w:rPr>
                <w:sz w:val="20"/>
                <w:szCs w:val="20"/>
                <w:color w:val="auto"/>
              </w:rPr>
            </w:pPr>
            <w:r>
              <w:rPr>
                <w:rFonts w:ascii="Times New Roman" w:cs="Times New Roman" w:eastAsia="Times New Roman" w:hAnsi="Times New Roman"/>
                <w:sz w:val="20"/>
                <w:szCs w:val="20"/>
                <w:color w:val="auto"/>
                <w:w w:val="98"/>
              </w:rPr>
              <w:t>0.937500000%</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0.000000000000000%</w:t>
            </w:r>
          </w:p>
        </w:tc>
        <w:tc>
          <w:tcPr>
            <w:tcW w:w="180" w:type="dxa"/>
            <w:vAlign w:val="bottom"/>
          </w:tcPr>
          <w:p>
            <w:pPr>
              <w:spacing w:after="0"/>
              <w:rPr>
                <w:sz w:val="24"/>
                <w:szCs w:val="24"/>
                <w:color w:val="auto"/>
              </w:rPr>
            </w:pPr>
          </w:p>
        </w:tc>
      </w:tr>
      <w:tr>
        <w:trPr>
          <w:trHeight w:val="24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ASSOCIATION</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HSBC BANK PLC</w:t>
            </w:r>
          </w:p>
        </w:tc>
        <w:tc>
          <w:tcPr>
            <w:tcW w:w="292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auto"/>
                <w:w w:val="98"/>
              </w:rPr>
              <w:t>10.000000000%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9.051724137931030%</w:t>
            </w:r>
          </w:p>
        </w:tc>
        <w:tc>
          <w:tcPr>
            <w:tcW w:w="180" w:type="dxa"/>
            <w:vAlign w:val="bottom"/>
          </w:tcPr>
          <w:p>
            <w:pPr>
              <w:spacing w:after="0"/>
              <w:rPr>
                <w:sz w:val="22"/>
                <w:szCs w:val="22"/>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Citi</w:t>
            </w:r>
          </w:p>
        </w:tc>
        <w:tc>
          <w:tcPr>
            <w:tcW w:w="292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auto"/>
                <w:w w:val="98"/>
              </w:rPr>
              <w:t>10.937500000%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9.051724137931030%</w:t>
            </w:r>
          </w:p>
        </w:tc>
        <w:tc>
          <w:tcPr>
            <w:tcW w:w="180" w:type="dxa"/>
            <w:vAlign w:val="bottom"/>
          </w:tcPr>
          <w:p>
            <w:pPr>
              <w:spacing w:after="0"/>
              <w:rPr>
                <w:sz w:val="22"/>
                <w:szCs w:val="22"/>
                <w:color w:val="auto"/>
              </w:rPr>
            </w:pPr>
          </w:p>
        </w:tc>
      </w:tr>
      <w:tr>
        <w:trPr>
          <w:trHeight w:val="198"/>
        </w:trPr>
        <w:tc>
          <w:tcPr>
            <w:tcW w:w="35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CRÉDIT AGRICOLE CORPORATE AND</w:t>
            </w:r>
          </w:p>
        </w:tc>
        <w:tc>
          <w:tcPr>
            <w:tcW w:w="2920" w:type="dxa"/>
            <w:vAlign w:val="bottom"/>
            <w:gridSpan w:val="4"/>
          </w:tcPr>
          <w:p>
            <w:pPr>
              <w:jc w:val="center"/>
              <w:ind w:left="601"/>
              <w:spacing w:after="0" w:line="198" w:lineRule="exact"/>
              <w:rPr>
                <w:sz w:val="20"/>
                <w:szCs w:val="20"/>
                <w:color w:val="auto"/>
              </w:rPr>
            </w:pPr>
            <w:r>
              <w:rPr>
                <w:rFonts w:ascii="Times New Roman" w:cs="Times New Roman" w:eastAsia="Times New Roman" w:hAnsi="Times New Roman"/>
                <w:sz w:val="20"/>
                <w:szCs w:val="20"/>
                <w:color w:val="auto"/>
                <w:w w:val="98"/>
              </w:rPr>
              <w:t>10.937500000%</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20"/>
                <w:szCs w:val="20"/>
                <w:color w:val="auto"/>
                <w:w w:val="99"/>
              </w:rPr>
              <w:t>9.051724137931030%</w:t>
            </w:r>
          </w:p>
        </w:tc>
        <w:tc>
          <w:tcPr>
            <w:tcW w:w="180" w:type="dxa"/>
            <w:vAlign w:val="bottom"/>
          </w:tcPr>
          <w:p>
            <w:pPr>
              <w:spacing w:after="0"/>
              <w:rPr>
                <w:sz w:val="17"/>
                <w:szCs w:val="17"/>
                <w:color w:val="auto"/>
              </w:rPr>
            </w:pPr>
          </w:p>
        </w:tc>
      </w:tr>
      <w:tr>
        <w:trPr>
          <w:trHeight w:val="24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 BANK</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PNC BANK, NATIONAL ASSOCIATION</w:t>
            </w:r>
          </w:p>
        </w:tc>
        <w:tc>
          <w:tcPr>
            <w:tcW w:w="292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auto"/>
                <w:w w:val="98"/>
              </w:rPr>
              <w:t>10.937500000%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9.051724137931030%</w:t>
            </w:r>
          </w:p>
        </w:tc>
        <w:tc>
          <w:tcPr>
            <w:tcW w:w="180" w:type="dxa"/>
            <w:vAlign w:val="bottom"/>
          </w:tcPr>
          <w:p>
            <w:pPr>
              <w:spacing w:after="0"/>
              <w:rPr>
                <w:sz w:val="22"/>
                <w:szCs w:val="22"/>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BMO BANK, N.A.</w:t>
            </w:r>
          </w:p>
        </w:tc>
        <w:tc>
          <w:tcPr>
            <w:tcW w:w="2920" w:type="dxa"/>
            <w:vAlign w:val="bottom"/>
            <w:gridSpan w:val="4"/>
          </w:tcPr>
          <w:p>
            <w:pPr>
              <w:jc w:val="center"/>
              <w:ind w:left="581"/>
              <w:spacing w:after="0"/>
              <w:rPr>
                <w:sz w:val="20"/>
                <w:szCs w:val="20"/>
                <w:color w:val="auto"/>
              </w:rPr>
            </w:pPr>
            <w:r>
              <w:rPr>
                <w:rFonts w:ascii="Times New Roman" w:cs="Times New Roman" w:eastAsia="Times New Roman" w:hAnsi="Times New Roman"/>
                <w:sz w:val="20"/>
                <w:szCs w:val="20"/>
                <w:color w:val="auto"/>
                <w:w w:val="98"/>
              </w:rPr>
              <w:t>4.687500000%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0.000000000000000%</w:t>
            </w:r>
          </w:p>
        </w:tc>
        <w:tc>
          <w:tcPr>
            <w:tcW w:w="180" w:type="dxa"/>
            <w:vAlign w:val="bottom"/>
          </w:tcPr>
          <w:p>
            <w:pPr>
              <w:spacing w:after="0"/>
              <w:rPr>
                <w:sz w:val="22"/>
                <w:szCs w:val="22"/>
                <w:color w:val="auto"/>
              </w:rPr>
            </w:pPr>
          </w:p>
        </w:tc>
      </w:tr>
      <w:tr>
        <w:trPr>
          <w:trHeight w:val="256"/>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BANK OF MONTREAL</w:t>
            </w:r>
          </w:p>
        </w:tc>
        <w:tc>
          <w:tcPr>
            <w:tcW w:w="2920" w:type="dxa"/>
            <w:vAlign w:val="bottom"/>
            <w:gridSpan w:val="4"/>
          </w:tcPr>
          <w:p>
            <w:pPr>
              <w:jc w:val="center"/>
              <w:ind w:left="581"/>
              <w:spacing w:after="0"/>
              <w:rPr>
                <w:sz w:val="20"/>
                <w:szCs w:val="20"/>
                <w:color w:val="auto"/>
              </w:rPr>
            </w:pPr>
            <w:r>
              <w:rPr>
                <w:rFonts w:ascii="Times New Roman" w:cs="Times New Roman" w:eastAsia="Times New Roman" w:hAnsi="Times New Roman"/>
                <w:sz w:val="20"/>
                <w:szCs w:val="20"/>
                <w:color w:val="auto"/>
                <w:w w:val="98"/>
              </w:rPr>
              <w:t>0.000000000%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3.879310344827590%</w:t>
            </w:r>
          </w:p>
        </w:tc>
        <w:tc>
          <w:tcPr>
            <w:tcW w:w="180" w:type="dxa"/>
            <w:vAlign w:val="bottom"/>
          </w:tcPr>
          <w:p>
            <w:pPr>
              <w:spacing w:after="0"/>
              <w:rPr>
                <w:sz w:val="22"/>
                <w:szCs w:val="22"/>
                <w:color w:val="auto"/>
              </w:rPr>
            </w:pPr>
          </w:p>
        </w:tc>
      </w:tr>
      <w:tr>
        <w:trPr>
          <w:trHeight w:val="198"/>
        </w:trPr>
        <w:tc>
          <w:tcPr>
            <w:tcW w:w="35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SUMITOMO MITSUI BANKING</w:t>
            </w:r>
          </w:p>
        </w:tc>
        <w:tc>
          <w:tcPr>
            <w:tcW w:w="2920" w:type="dxa"/>
            <w:vAlign w:val="bottom"/>
            <w:gridSpan w:val="4"/>
          </w:tcPr>
          <w:p>
            <w:pPr>
              <w:jc w:val="center"/>
              <w:ind w:left="581"/>
              <w:spacing w:after="0" w:line="198" w:lineRule="exact"/>
              <w:rPr>
                <w:sz w:val="20"/>
                <w:szCs w:val="20"/>
                <w:color w:val="auto"/>
              </w:rPr>
            </w:pPr>
            <w:r>
              <w:rPr>
                <w:rFonts w:ascii="Times New Roman" w:cs="Times New Roman" w:eastAsia="Times New Roman" w:hAnsi="Times New Roman"/>
                <w:sz w:val="20"/>
                <w:szCs w:val="20"/>
                <w:color w:val="auto"/>
                <w:w w:val="98"/>
              </w:rPr>
              <w:t>4.687500000%</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20"/>
                <w:szCs w:val="20"/>
                <w:color w:val="auto"/>
                <w:w w:val="99"/>
              </w:rPr>
              <w:t>3.879310344827590%</w:t>
            </w:r>
          </w:p>
        </w:tc>
        <w:tc>
          <w:tcPr>
            <w:tcW w:w="180" w:type="dxa"/>
            <w:vAlign w:val="bottom"/>
          </w:tcPr>
          <w:p>
            <w:pPr>
              <w:spacing w:after="0"/>
              <w:rPr>
                <w:sz w:val="17"/>
                <w:szCs w:val="17"/>
                <w:color w:val="auto"/>
              </w:rPr>
            </w:pPr>
          </w:p>
        </w:tc>
      </w:tr>
      <w:tr>
        <w:trPr>
          <w:trHeight w:val="24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CORPORATION</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ROYAL BANK OF CANADA</w:t>
            </w:r>
          </w:p>
        </w:tc>
        <w:tc>
          <w:tcPr>
            <w:tcW w:w="2920" w:type="dxa"/>
            <w:vAlign w:val="bottom"/>
            <w:gridSpan w:val="4"/>
          </w:tcPr>
          <w:p>
            <w:pPr>
              <w:jc w:val="center"/>
              <w:ind w:left="581"/>
              <w:spacing w:after="0"/>
              <w:rPr>
                <w:sz w:val="20"/>
                <w:szCs w:val="20"/>
                <w:color w:val="auto"/>
              </w:rPr>
            </w:pPr>
            <w:r>
              <w:rPr>
                <w:rFonts w:ascii="Times New Roman" w:cs="Times New Roman" w:eastAsia="Times New Roman" w:hAnsi="Times New Roman"/>
                <w:sz w:val="20"/>
                <w:szCs w:val="20"/>
                <w:color w:val="auto"/>
                <w:w w:val="98"/>
              </w:rPr>
              <w:t>4.687500000%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3.879310344827590%</w:t>
            </w:r>
          </w:p>
        </w:tc>
        <w:tc>
          <w:tcPr>
            <w:tcW w:w="180" w:type="dxa"/>
            <w:vAlign w:val="bottom"/>
          </w:tcPr>
          <w:p>
            <w:pPr>
              <w:spacing w:after="0"/>
              <w:rPr>
                <w:sz w:val="22"/>
                <w:szCs w:val="22"/>
                <w:color w:val="auto"/>
              </w:rPr>
            </w:pPr>
          </w:p>
        </w:tc>
      </w:tr>
      <w:tr>
        <w:trPr>
          <w:trHeight w:val="256"/>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TRUIST BANK</w:t>
            </w:r>
          </w:p>
        </w:tc>
        <w:tc>
          <w:tcPr>
            <w:tcW w:w="2920" w:type="dxa"/>
            <w:vAlign w:val="bottom"/>
            <w:gridSpan w:val="4"/>
          </w:tcPr>
          <w:p>
            <w:pPr>
              <w:jc w:val="center"/>
              <w:ind w:left="581"/>
              <w:spacing w:after="0"/>
              <w:rPr>
                <w:sz w:val="20"/>
                <w:szCs w:val="20"/>
                <w:color w:val="auto"/>
              </w:rPr>
            </w:pPr>
            <w:r>
              <w:rPr>
                <w:rFonts w:ascii="Times New Roman" w:cs="Times New Roman" w:eastAsia="Times New Roman" w:hAnsi="Times New Roman"/>
                <w:sz w:val="20"/>
                <w:szCs w:val="20"/>
                <w:color w:val="auto"/>
                <w:w w:val="98"/>
              </w:rPr>
              <w:t>4.687500000%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3.879310344827590%</w:t>
            </w:r>
          </w:p>
        </w:tc>
        <w:tc>
          <w:tcPr>
            <w:tcW w:w="180" w:type="dxa"/>
            <w:vAlign w:val="bottom"/>
          </w:tcPr>
          <w:p>
            <w:pPr>
              <w:spacing w:after="0"/>
              <w:rPr>
                <w:sz w:val="22"/>
                <w:szCs w:val="22"/>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KBC BANK N.V., NEW YORK BRANCH</w:t>
            </w:r>
          </w:p>
        </w:tc>
        <w:tc>
          <w:tcPr>
            <w:tcW w:w="2920" w:type="dxa"/>
            <w:vAlign w:val="bottom"/>
            <w:gridSpan w:val="4"/>
          </w:tcPr>
          <w:p>
            <w:pPr>
              <w:jc w:val="center"/>
              <w:ind w:left="581"/>
              <w:spacing w:after="0"/>
              <w:rPr>
                <w:sz w:val="20"/>
                <w:szCs w:val="20"/>
                <w:color w:val="auto"/>
              </w:rPr>
            </w:pPr>
            <w:r>
              <w:rPr>
                <w:rFonts w:ascii="Times New Roman" w:cs="Times New Roman" w:eastAsia="Times New Roman" w:hAnsi="Times New Roman"/>
                <w:sz w:val="20"/>
                <w:szCs w:val="20"/>
                <w:color w:val="auto"/>
                <w:w w:val="98"/>
              </w:rPr>
              <w:t>2.187500000%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1.810344827586210%</w:t>
            </w:r>
          </w:p>
        </w:tc>
        <w:tc>
          <w:tcPr>
            <w:tcW w:w="180" w:type="dxa"/>
            <w:vAlign w:val="bottom"/>
          </w:tcPr>
          <w:p>
            <w:pPr>
              <w:spacing w:after="0"/>
              <w:rPr>
                <w:sz w:val="22"/>
                <w:szCs w:val="22"/>
                <w:color w:val="auto"/>
              </w:rPr>
            </w:pPr>
          </w:p>
        </w:tc>
      </w:tr>
      <w:tr>
        <w:trPr>
          <w:trHeight w:val="256"/>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STANDARD CHARTERED BANK</w:t>
            </w:r>
          </w:p>
        </w:tc>
        <w:tc>
          <w:tcPr>
            <w:tcW w:w="2920" w:type="dxa"/>
            <w:vAlign w:val="bottom"/>
            <w:gridSpan w:val="4"/>
          </w:tcPr>
          <w:p>
            <w:pPr>
              <w:jc w:val="center"/>
              <w:ind w:left="581"/>
              <w:spacing w:after="0"/>
              <w:rPr>
                <w:sz w:val="20"/>
                <w:szCs w:val="20"/>
                <w:color w:val="auto"/>
              </w:rPr>
            </w:pPr>
            <w:r>
              <w:rPr>
                <w:rFonts w:ascii="Times New Roman" w:cs="Times New Roman" w:eastAsia="Times New Roman" w:hAnsi="Times New Roman"/>
                <w:sz w:val="20"/>
                <w:szCs w:val="20"/>
                <w:color w:val="auto"/>
                <w:w w:val="98"/>
              </w:rPr>
              <w:t>2.187500000%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1.810344827586210%</w:t>
            </w:r>
          </w:p>
        </w:tc>
        <w:tc>
          <w:tcPr>
            <w:tcW w:w="180" w:type="dxa"/>
            <w:vAlign w:val="bottom"/>
          </w:tcPr>
          <w:p>
            <w:pPr>
              <w:spacing w:after="0"/>
              <w:rPr>
                <w:sz w:val="22"/>
                <w:szCs w:val="22"/>
                <w:color w:val="auto"/>
              </w:rPr>
            </w:pPr>
          </w:p>
        </w:tc>
      </w:tr>
      <w:tr>
        <w:trPr>
          <w:trHeight w:val="253"/>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BARCLAYS BANK PLC</w:t>
            </w:r>
          </w:p>
        </w:tc>
        <w:tc>
          <w:tcPr>
            <w:tcW w:w="2920" w:type="dxa"/>
            <w:vAlign w:val="bottom"/>
            <w:gridSpan w:val="4"/>
          </w:tcPr>
          <w:p>
            <w:pPr>
              <w:jc w:val="center"/>
              <w:ind w:left="581"/>
              <w:spacing w:after="0"/>
              <w:rPr>
                <w:sz w:val="20"/>
                <w:szCs w:val="20"/>
                <w:color w:val="auto"/>
              </w:rPr>
            </w:pPr>
            <w:r>
              <w:rPr>
                <w:rFonts w:ascii="Times New Roman" w:cs="Times New Roman" w:eastAsia="Times New Roman" w:hAnsi="Times New Roman"/>
                <w:sz w:val="20"/>
                <w:szCs w:val="20"/>
                <w:color w:val="auto"/>
                <w:w w:val="98"/>
              </w:rPr>
              <w:t>1.875000000%</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1.551724137931030%</w:t>
            </w:r>
          </w:p>
        </w:tc>
        <w:tc>
          <w:tcPr>
            <w:tcW w:w="180" w:type="dxa"/>
            <w:vAlign w:val="bottom"/>
          </w:tcPr>
          <w:p>
            <w:pPr>
              <w:spacing w:after="0"/>
              <w:rPr>
                <w:sz w:val="21"/>
                <w:szCs w:val="21"/>
                <w:color w:val="auto"/>
              </w:rPr>
            </w:pPr>
          </w:p>
        </w:tc>
      </w:tr>
      <w:tr>
        <w:trPr>
          <w:trHeight w:val="262"/>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920" w:type="dxa"/>
            <w:vAlign w:val="bottom"/>
            <w:gridSpan w:val="4"/>
          </w:tcPr>
          <w:p>
            <w:pPr>
              <w:jc w:val="center"/>
              <w:ind w:left="581"/>
              <w:spacing w:after="0"/>
              <w:rPr>
                <w:sz w:val="20"/>
                <w:szCs w:val="20"/>
                <w:color w:val="auto"/>
              </w:rPr>
            </w:pPr>
            <w:r>
              <w:rPr>
                <w:rFonts w:ascii="Times New Roman" w:cs="Times New Roman" w:eastAsia="Times New Roman" w:hAnsi="Times New Roman"/>
                <w:sz w:val="20"/>
                <w:szCs w:val="20"/>
                <w:b w:val="1"/>
                <w:bCs w:val="1"/>
                <w:color w:val="auto"/>
                <w:w w:val="99"/>
              </w:rPr>
              <w:t>100.000000000%</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100.000000000000000%</w:t>
            </w:r>
          </w:p>
        </w:tc>
        <w:tc>
          <w:tcPr>
            <w:tcW w:w="180" w:type="dxa"/>
            <w:vAlign w:val="bottom"/>
          </w:tcPr>
          <w:p>
            <w:pPr>
              <w:spacing w:after="0"/>
              <w:rPr>
                <w:sz w:val="22"/>
                <w:szCs w:val="22"/>
                <w:color w:val="auto"/>
              </w:rPr>
            </w:pPr>
          </w:p>
        </w:tc>
      </w:tr>
    </w:tbl>
    <w:p>
      <w:pPr>
        <w:sectPr>
          <w:pgSz w:w="11900" w:h="16838" w:orient="portrait"/>
          <w:cols w:equalWidth="0" w:num="1">
            <w:col w:w="11160"/>
          </w:cols>
          <w:pgMar w:left="400" w:top="141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CONFIDENTIAL</w:t>
      </w:r>
    </w:p>
    <w:p>
      <w:pPr>
        <w:spacing w:after="0" w:line="2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u w:val="single" w:color="auto"/>
          <w:color w:val="auto"/>
        </w:rPr>
        <w:t>Project Sonic</w:t>
      </w:r>
    </w:p>
    <w:p>
      <w:pPr>
        <w:spacing w:after="0" w:line="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u w:val="single" w:color="auto"/>
          <w:color w:val="auto"/>
        </w:rPr>
        <w:t>$2.45 Billion Senior Secured Term Loan Facilities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Summary of Terms and Conditions</w:t>
      </w:r>
    </w:p>
    <w:p>
      <w:pPr>
        <w:spacing w:after="0" w:line="23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Capitalized terms not otherwise defined in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have the same meaning as specified with respect thereto in the Commitment Letter to which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 attached.</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Borrower:</w:t>
            </w: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ON Semiconductor Corporation, a Delaware corporation (the “Company”).</w:t>
            </w:r>
          </w:p>
        </w:tc>
      </w:tr>
      <w:tr>
        <w:trPr>
          <w:trHeight w:val="20"/>
        </w:trPr>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3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Guarantors:</w:t>
            </w: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The obligations of the Company in respect of the Term Facilities (as defined below) will be</w:t>
            </w:r>
          </w:p>
        </w:tc>
      </w:tr>
      <w:tr>
        <w:trPr>
          <w:trHeight w:val="254"/>
        </w:trPr>
        <w:tc>
          <w:tcPr>
            <w:tcW w:w="6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w w:val="99"/>
              </w:rPr>
              <w:t>jointly and severally guaranteed by each of the Company’s existing and subsequently acquired or</w:t>
            </w:r>
          </w:p>
        </w:tc>
      </w:tr>
      <w:tr>
        <w:trPr>
          <w:trHeight w:val="243"/>
        </w:trPr>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formed subsidiaries that guarantees the obligations outstanding under the Existing Company</w:t>
            </w:r>
          </w:p>
        </w:tc>
      </w:tr>
      <w:tr>
        <w:trPr>
          <w:trHeight w:val="212"/>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40" w:type="dxa"/>
            <w:vAlign w:val="bottom"/>
            <w:gridSpan w:val="22"/>
          </w:tcPr>
          <w:p>
            <w:pPr>
              <w:spacing w:after="0" w:line="212" w:lineRule="exact"/>
              <w:rPr>
                <w:sz w:val="20"/>
                <w:szCs w:val="20"/>
                <w:color w:val="auto"/>
              </w:rPr>
            </w:pPr>
            <w:r>
              <w:rPr>
                <w:rFonts w:ascii="Times New Roman" w:cs="Times New Roman" w:eastAsia="Times New Roman" w:hAnsi="Times New Roman"/>
                <w:sz w:val="20"/>
                <w:szCs w:val="20"/>
                <w:color w:val="auto"/>
              </w:rPr>
              <w:t>Credit Agreement (collectively, the “Guarantors” and, together with the Company, the “Loan</w:t>
            </w:r>
          </w:p>
        </w:tc>
      </w:tr>
      <w:tr>
        <w:trPr>
          <w:trHeight w:val="223"/>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60" w:type="dxa"/>
            <w:vAlign w:val="bottom"/>
            <w:gridSpan w:val="8"/>
          </w:tcPr>
          <w:p>
            <w:pPr>
              <w:spacing w:after="0" w:line="223" w:lineRule="exact"/>
              <w:rPr>
                <w:sz w:val="20"/>
                <w:szCs w:val="20"/>
                <w:color w:val="auto"/>
              </w:rPr>
            </w:pPr>
            <w:r>
              <w:rPr>
                <w:rFonts w:ascii="Times New Roman" w:cs="Times New Roman" w:eastAsia="Times New Roman" w:hAnsi="Times New Roman"/>
                <w:sz w:val="20"/>
                <w:szCs w:val="20"/>
                <w:color w:val="auto"/>
              </w:rPr>
              <w:t>Parties”).</w:t>
            </w:r>
          </w:p>
        </w:tc>
        <w:tc>
          <w:tcPr>
            <w:tcW w:w="880" w:type="dxa"/>
            <w:vAlign w:val="bottom"/>
            <w:tcBorders>
              <w:top w:val="single" w:sz="8" w:color="auto"/>
            </w:tcBorders>
            <w:gridSpan w:val="5"/>
          </w:tcPr>
          <w:p>
            <w:pPr>
              <w:spacing w:after="0"/>
              <w:rPr>
                <w:sz w:val="19"/>
                <w:szCs w:val="19"/>
                <w:color w:val="auto"/>
              </w:rPr>
            </w:pPr>
          </w:p>
        </w:tc>
        <w:tc>
          <w:tcPr>
            <w:tcW w:w="3380" w:type="dxa"/>
            <w:vAlign w:val="bottom"/>
            <w:gridSpan w:val="6"/>
          </w:tcPr>
          <w:p>
            <w:pPr>
              <w:spacing w:after="0"/>
              <w:rPr>
                <w:sz w:val="19"/>
                <w:szCs w:val="19"/>
                <w:color w:val="auto"/>
              </w:rPr>
            </w:pPr>
          </w:p>
        </w:tc>
        <w:tc>
          <w:tcPr>
            <w:tcW w:w="400" w:type="dxa"/>
            <w:vAlign w:val="bottom"/>
            <w:tcBorders>
              <w:top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w w:val="99"/>
              </w:rPr>
              <w:t>Notwithstanding the foregoing, subsidiaries may be excluded from the guarantee requirements in</w:t>
            </w:r>
          </w:p>
        </w:tc>
      </w:tr>
      <w:tr>
        <w:trPr>
          <w:trHeight w:val="230"/>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circumstances where the Company and the Administrative Agent reasonably agree that the cost</w:t>
            </w:r>
          </w:p>
        </w:tc>
      </w:tr>
      <w:tr>
        <w:trPr>
          <w:trHeight w:val="258"/>
        </w:trPr>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or burden of providing such a guarantee is excessive in relation to the value afforded thereby.</w:t>
            </w:r>
          </w:p>
        </w:tc>
      </w:tr>
      <w:tr>
        <w:trPr>
          <w:trHeight w:val="467"/>
        </w:trPr>
        <w:tc>
          <w:tcPr>
            <w:tcW w:w="33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Joint Lead Arrangers and Joint Lead</w:t>
            </w: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Each of (i) MSSF, JPMCB, Bank of America, HSBC Securities, Citi, Credit Agricole, PNC</w:t>
            </w:r>
          </w:p>
        </w:tc>
      </w:tr>
      <w:tr>
        <w:trPr>
          <w:trHeight w:val="223"/>
        </w:trPr>
        <w:tc>
          <w:tcPr>
            <w:tcW w:w="2880" w:type="dxa"/>
            <w:vAlign w:val="bottom"/>
            <w:tcBorders>
              <w:top w:val="single" w:sz="8" w:color="auto"/>
            </w:tcBorders>
            <w:gridSpan w:val="6"/>
          </w:tcPr>
          <w:p>
            <w:pPr>
              <w:spacing w:after="0" w:line="223" w:lineRule="exact"/>
              <w:rPr>
                <w:sz w:val="20"/>
                <w:szCs w:val="20"/>
                <w:color w:val="auto"/>
              </w:rPr>
            </w:pPr>
            <w:r>
              <w:rPr>
                <w:rFonts w:ascii="Times New Roman" w:cs="Times New Roman" w:eastAsia="Times New Roman" w:hAnsi="Times New Roman"/>
                <w:sz w:val="20"/>
                <w:szCs w:val="20"/>
                <w:color w:val="auto"/>
              </w:rPr>
              <w:t>Bookrunners:</w:t>
            </w:r>
          </w:p>
        </w:tc>
        <w:tc>
          <w:tcPr>
            <w:tcW w:w="480" w:type="dxa"/>
            <w:vAlign w:val="bottom"/>
          </w:tcPr>
          <w:p>
            <w:pPr>
              <w:spacing w:after="0"/>
              <w:rPr>
                <w:sz w:val="19"/>
                <w:szCs w:val="19"/>
                <w:color w:val="auto"/>
              </w:rPr>
            </w:pPr>
          </w:p>
        </w:tc>
        <w:tc>
          <w:tcPr>
            <w:tcW w:w="7740" w:type="dxa"/>
            <w:vAlign w:val="bottom"/>
            <w:gridSpan w:val="22"/>
          </w:tcPr>
          <w:p>
            <w:pPr>
              <w:spacing w:after="0" w:line="223" w:lineRule="exact"/>
              <w:rPr>
                <w:sz w:val="20"/>
                <w:szCs w:val="20"/>
                <w:color w:val="auto"/>
              </w:rPr>
            </w:pPr>
            <w:r>
              <w:rPr>
                <w:rFonts w:ascii="Times New Roman" w:cs="Times New Roman" w:eastAsia="Times New Roman" w:hAnsi="Times New Roman"/>
                <w:sz w:val="20"/>
                <w:szCs w:val="20"/>
                <w:color w:val="auto"/>
              </w:rPr>
              <w:t>Capital Markets, BMOCM, SMBC, RBC, Truist Securities, KBC, SC and Barclays will act as a</w:t>
            </w:r>
          </w:p>
        </w:tc>
      </w:tr>
      <w:tr>
        <w:trPr>
          <w:trHeight w:val="209"/>
        </w:trPr>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40" w:type="dxa"/>
            <w:vAlign w:val="bottom"/>
            <w:gridSpan w:val="22"/>
          </w:tcPr>
          <w:p>
            <w:pPr>
              <w:spacing w:after="0" w:line="209" w:lineRule="exact"/>
              <w:rPr>
                <w:sz w:val="20"/>
                <w:szCs w:val="20"/>
                <w:color w:val="auto"/>
              </w:rPr>
            </w:pPr>
            <w:r>
              <w:rPr>
                <w:rFonts w:ascii="Times New Roman" w:cs="Times New Roman" w:eastAsia="Times New Roman" w:hAnsi="Times New Roman"/>
                <w:sz w:val="20"/>
                <w:szCs w:val="20"/>
                <w:color w:val="auto"/>
              </w:rPr>
              <w:t>joint lead arranger (each in such capacities, a “Joint Lead Arranger” and, collectively, the “Joint</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40" w:type="dxa"/>
            <w:vAlign w:val="bottom"/>
            <w:gridSpan w:val="22"/>
          </w:tcPr>
          <w:p>
            <w:pPr>
              <w:spacing w:after="0" w:line="223" w:lineRule="exact"/>
              <w:rPr>
                <w:sz w:val="20"/>
                <w:szCs w:val="20"/>
                <w:color w:val="auto"/>
              </w:rPr>
            </w:pPr>
            <w:r>
              <w:rPr>
                <w:rFonts w:ascii="Times New Roman" w:cs="Times New Roman" w:eastAsia="Times New Roman" w:hAnsi="Times New Roman"/>
                <w:sz w:val="20"/>
                <w:szCs w:val="20"/>
                <w:color w:val="auto"/>
              </w:rPr>
              <w:t>Lead Arrangers”) for the Term Facilities and (ii) MSSF, JPMCB, Bank of America, HSBC</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41"/>
        </w:trPr>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w w:val="99"/>
              </w:rPr>
              <w:t>Securities, Citi, Credit Agricole and PNC Capital Markets will act as a joint bookrunner (each in</w:t>
            </w:r>
          </w:p>
        </w:tc>
      </w:tr>
      <w:tr>
        <w:trPr>
          <w:trHeight w:val="212"/>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40" w:type="dxa"/>
            <w:vAlign w:val="bottom"/>
            <w:gridSpan w:val="22"/>
          </w:tcPr>
          <w:p>
            <w:pPr>
              <w:spacing w:after="0" w:line="212" w:lineRule="exact"/>
              <w:rPr>
                <w:sz w:val="20"/>
                <w:szCs w:val="20"/>
                <w:color w:val="auto"/>
              </w:rPr>
            </w:pPr>
            <w:r>
              <w:rPr>
                <w:rFonts w:ascii="Times New Roman" w:cs="Times New Roman" w:eastAsia="Times New Roman" w:hAnsi="Times New Roman"/>
                <w:sz w:val="20"/>
                <w:szCs w:val="20"/>
                <w:color w:val="auto"/>
                <w:w w:val="99"/>
              </w:rPr>
              <w:t>such capacities, a “Joint Lead Bookrunner” and, collectively, the “Joint Lead Bookrunners” and,</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40" w:type="dxa"/>
            <w:vAlign w:val="bottom"/>
            <w:gridSpan w:val="22"/>
          </w:tcPr>
          <w:p>
            <w:pPr>
              <w:spacing w:after="0" w:line="223" w:lineRule="exact"/>
              <w:rPr>
                <w:sz w:val="20"/>
                <w:szCs w:val="20"/>
                <w:color w:val="auto"/>
              </w:rPr>
            </w:pPr>
            <w:r>
              <w:rPr>
                <w:rFonts w:ascii="Times New Roman" w:cs="Times New Roman" w:eastAsia="Times New Roman" w:hAnsi="Times New Roman"/>
                <w:sz w:val="20"/>
                <w:szCs w:val="20"/>
                <w:color w:val="auto"/>
                <w:w w:val="98"/>
              </w:rPr>
              <w:t>together with the Joint Lead Arrangers, the “Arrangers”) for the Term Facilities and, in each case,</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r>
      <w:tr>
        <w:trPr>
          <w:trHeight w:val="241"/>
        </w:trPr>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will perform the duties customarily associated with such roles. MSSF will act as “left” lead</w:t>
            </w:r>
          </w:p>
        </w:tc>
      </w:tr>
      <w:tr>
        <w:trPr>
          <w:trHeight w:val="212"/>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40" w:type="dxa"/>
            <w:vAlign w:val="bottom"/>
            <w:gridSpan w:val="22"/>
          </w:tcPr>
          <w:p>
            <w:pPr>
              <w:spacing w:after="0" w:line="212" w:lineRule="exact"/>
              <w:rPr>
                <w:sz w:val="20"/>
                <w:szCs w:val="20"/>
                <w:color w:val="auto"/>
              </w:rPr>
            </w:pPr>
            <w:r>
              <w:rPr>
                <w:rFonts w:ascii="Times New Roman" w:cs="Times New Roman" w:eastAsia="Times New Roman" w:hAnsi="Times New Roman"/>
                <w:sz w:val="20"/>
                <w:szCs w:val="20"/>
                <w:color w:val="auto"/>
              </w:rPr>
              <w:t>Arranger and bookrunner (in such capacity, the “Lead Arranger”).</w:t>
            </w:r>
          </w:p>
        </w:tc>
      </w:tr>
      <w:tr>
        <w:trPr>
          <w:trHeight w:val="20"/>
        </w:trPr>
        <w:tc>
          <w:tcPr>
            <w:tcW w:w="6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160" w:type="dxa"/>
            <w:vAlign w:val="bottom"/>
            <w:tcBorders>
              <w:right w:val="single" w:sz="8" w:color="auto"/>
            </w:tcBorders>
            <w:gridSpan w:val="3"/>
            <w:shd w:val="clear" w:color="auto" w:fill="000000"/>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r>
      <w:tr>
        <w:trPr>
          <w:trHeight w:val="480"/>
        </w:trPr>
        <w:tc>
          <w:tcPr>
            <w:tcW w:w="33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Administrative Agent:</w:t>
            </w: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JPMCB will act as sole and exclusive administrative agent and collateral agent (in such</w:t>
            </w:r>
          </w:p>
        </w:tc>
      </w:tr>
      <w:tr>
        <w:trPr>
          <w:trHeight w:val="223"/>
        </w:trPr>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40" w:type="dxa"/>
            <w:vAlign w:val="bottom"/>
            <w:gridSpan w:val="22"/>
          </w:tcPr>
          <w:p>
            <w:pPr>
              <w:spacing w:after="0" w:line="223" w:lineRule="exact"/>
              <w:rPr>
                <w:sz w:val="20"/>
                <w:szCs w:val="20"/>
                <w:color w:val="auto"/>
              </w:rPr>
            </w:pPr>
            <w:r>
              <w:rPr>
                <w:rFonts w:ascii="Times New Roman" w:cs="Times New Roman" w:eastAsia="Times New Roman" w:hAnsi="Times New Roman"/>
                <w:sz w:val="20"/>
                <w:szCs w:val="20"/>
                <w:color w:val="auto"/>
              </w:rPr>
              <w:t>capacities, “Administrative Agent”).</w:t>
            </w:r>
          </w:p>
        </w:tc>
      </w:tr>
      <w:tr>
        <w:trPr>
          <w:trHeight w:val="20"/>
        </w:trPr>
        <w:tc>
          <w:tcPr>
            <w:tcW w:w="64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5060" w:type="dxa"/>
            <w:vAlign w:val="bottom"/>
            <w:gridSpan w:val="15"/>
          </w:tcPr>
          <w:p>
            <w:pPr>
              <w:spacing w:after="0" w:line="20" w:lineRule="exact"/>
              <w:rPr>
                <w:sz w:val="1"/>
                <w:szCs w:val="1"/>
                <w:color w:val="auto"/>
              </w:rPr>
            </w:pPr>
          </w:p>
        </w:tc>
      </w:tr>
      <w:tr>
        <w:trPr>
          <w:trHeight w:val="480"/>
        </w:trPr>
        <w:tc>
          <w:tcPr>
            <w:tcW w:w="33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Lenders:</w:t>
            </w: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MSSF and/or other banks, financial institutions and institutional lenders selected in accordance</w:t>
            </w:r>
          </w:p>
        </w:tc>
      </w:tr>
      <w:tr>
        <w:trPr>
          <w:trHeight w:val="241"/>
        </w:trPr>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Times New Roman" w:cs="Times New Roman" w:eastAsia="Times New Roman" w:hAnsi="Times New Roman"/>
                <w:sz w:val="20"/>
                <w:szCs w:val="20"/>
                <w:color w:val="auto"/>
              </w:rPr>
              <w:t>with  the  Commitment  Letter,  but  excluding  any  Disqualified  Lender  (collectively,  the</w:t>
            </w:r>
          </w:p>
        </w:tc>
      </w:tr>
      <w:tr>
        <w:trPr>
          <w:trHeight w:val="212"/>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40" w:type="dxa"/>
            <w:vAlign w:val="bottom"/>
            <w:gridSpan w:val="22"/>
          </w:tcPr>
          <w:p>
            <w:pPr>
              <w:spacing w:after="0" w:line="212" w:lineRule="exact"/>
              <w:rPr>
                <w:sz w:val="20"/>
                <w:szCs w:val="20"/>
                <w:color w:val="auto"/>
              </w:rPr>
            </w:pPr>
            <w:r>
              <w:rPr>
                <w:rFonts w:ascii="Times New Roman" w:cs="Times New Roman" w:eastAsia="Times New Roman" w:hAnsi="Times New Roman"/>
                <w:sz w:val="20"/>
                <w:szCs w:val="20"/>
                <w:color w:val="auto"/>
              </w:rPr>
              <w:t>“Lenders”).</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w:t>
      </w:r>
    </w:p>
    <w:p>
      <w:pPr>
        <w:sectPr>
          <w:pgSz w:w="11900" w:h="16838" w:orient="portrait"/>
          <w:cols w:equalWidth="0" w:num="1">
            <w:col w:w="11240"/>
          </w:cols>
          <w:pgMar w:left="320" w:top="1413" w:right="339" w:bottom="1440" w:gutter="0" w:footer="0" w:header="0"/>
        </w:sectPr>
      </w:pPr>
    </w:p>
    <w:bookmarkStart w:id="84" w:name="page85"/>
    <w:bookmarkEnd w:id="84"/>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Term Facilities:</w:t>
            </w: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Senior secured term loan facilities in an aggregate principal amount of up to $2,450,000,000,</w:t>
            </w:r>
          </w:p>
        </w:tc>
        <w:tc>
          <w:tcPr>
            <w:tcW w:w="0" w:type="dxa"/>
            <w:vAlign w:val="bottom"/>
          </w:tcPr>
          <w:p>
            <w:pPr>
              <w:spacing w:after="0"/>
              <w:rPr>
                <w:sz w:val="1"/>
                <w:szCs w:val="1"/>
                <w:color w:val="auto"/>
              </w:rPr>
            </w:pPr>
          </w:p>
        </w:tc>
      </w:tr>
      <w:tr>
        <w:trPr>
          <w:trHeight w:val="270"/>
        </w:trPr>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consisting of the following:</w:t>
            </w:r>
          </w:p>
        </w:tc>
        <w:tc>
          <w:tcPr>
            <w:tcW w:w="0" w:type="dxa"/>
            <w:vAlign w:val="bottom"/>
          </w:tcPr>
          <w:p>
            <w:pPr>
              <w:spacing w:after="0"/>
              <w:rPr>
                <w:sz w:val="1"/>
                <w:szCs w:val="1"/>
                <w:color w:val="auto"/>
              </w:rPr>
            </w:pPr>
          </w:p>
        </w:tc>
      </w:tr>
      <w:tr>
        <w:trPr>
          <w:trHeight w:val="430"/>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A five-year senior secured term loan A credit facility in an aggregate principal amount of up to</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gridSpan w:val="15"/>
          </w:tcPr>
          <w:p>
            <w:pPr>
              <w:ind w:left="660"/>
              <w:spacing w:after="0" w:line="212" w:lineRule="exact"/>
              <w:rPr>
                <w:sz w:val="20"/>
                <w:szCs w:val="20"/>
                <w:color w:val="auto"/>
              </w:rPr>
            </w:pPr>
            <w:r>
              <w:rPr>
                <w:rFonts w:ascii="Times New Roman" w:cs="Times New Roman" w:eastAsia="Times New Roman" w:hAnsi="Times New Roman"/>
                <w:sz w:val="20"/>
                <w:szCs w:val="20"/>
                <w:color w:val="auto"/>
              </w:rPr>
              <w:t>$1,600,000,000 (the “Term Loan A Credit Facility”), and</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w w:val="99"/>
              </w:rPr>
              <w:t>A seven-year senior secured term loan B credit facility in an aggregate principal amount of up to</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gridSpan w:val="15"/>
          </w:tcPr>
          <w:p>
            <w:pPr>
              <w:ind w:left="660"/>
              <w:spacing w:after="0" w:line="212" w:lineRule="exact"/>
              <w:rPr>
                <w:sz w:val="20"/>
                <w:szCs w:val="20"/>
                <w:color w:val="auto"/>
              </w:rPr>
            </w:pPr>
            <w:r>
              <w:rPr>
                <w:rFonts w:ascii="Times New Roman" w:cs="Times New Roman" w:eastAsia="Times New Roman" w:hAnsi="Times New Roman"/>
                <w:sz w:val="20"/>
                <w:szCs w:val="20"/>
                <w:color w:val="auto"/>
              </w:rPr>
              <w:t>$850,000,000 (the “Term Loan B Credit Facility” and, together with the Term Loan A Credit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0" w:type="dxa"/>
            <w:vAlign w:val="bottom"/>
            <w:gridSpan w:val="15"/>
          </w:tcPr>
          <w:p>
            <w:pPr>
              <w:ind w:left="660"/>
              <w:spacing w:after="0" w:line="223" w:lineRule="exact"/>
              <w:rPr>
                <w:sz w:val="20"/>
                <w:szCs w:val="20"/>
                <w:color w:val="auto"/>
              </w:rPr>
            </w:pPr>
            <w:r>
              <w:rPr>
                <w:rFonts w:ascii="Times New Roman" w:cs="Times New Roman" w:eastAsia="Times New Roman" w:hAnsi="Times New Roman"/>
                <w:sz w:val="20"/>
                <w:szCs w:val="20"/>
                <w:color w:val="auto"/>
              </w:rPr>
              <w:t>Facility, the “Term Facilities” and each a “Term Facility”). Loans under the Term Facilities will</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be available in U.S. dollars.</w:t>
            </w:r>
          </w:p>
        </w:tc>
        <w:tc>
          <w:tcPr>
            <w:tcW w:w="0" w:type="dxa"/>
            <w:vAlign w:val="bottom"/>
          </w:tcPr>
          <w:p>
            <w:pPr>
              <w:spacing w:after="0"/>
              <w:rPr>
                <w:sz w:val="1"/>
                <w:szCs w:val="1"/>
                <w:color w:val="auto"/>
              </w:rPr>
            </w:pPr>
          </w:p>
        </w:tc>
      </w:tr>
      <w:tr>
        <w:trPr>
          <w:trHeight w:val="467"/>
        </w:trPr>
        <w:tc>
          <w:tcPr>
            <w:tcW w:w="27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Incremental Facilities:</w:t>
            </w: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Subject to the Documentation Principles (as defined below), to be consistent with the Existing</w:t>
            </w:r>
          </w:p>
        </w:tc>
        <w:tc>
          <w:tcPr>
            <w:tcW w:w="0" w:type="dxa"/>
            <w:vAlign w:val="bottom"/>
          </w:tcPr>
          <w:p>
            <w:pPr>
              <w:spacing w:after="0"/>
              <w:rPr>
                <w:sz w:val="1"/>
                <w:szCs w:val="1"/>
                <w:color w:val="auto"/>
              </w:rPr>
            </w:pPr>
          </w:p>
        </w:tc>
      </w:tr>
      <w:tr>
        <w:trPr>
          <w:trHeight w:val="269"/>
        </w:trPr>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Company Credit Agreement.</w:t>
            </w:r>
          </w:p>
        </w:tc>
        <w:tc>
          <w:tcPr>
            <w:tcW w:w="0" w:type="dxa"/>
            <w:vAlign w:val="bottom"/>
          </w:tcPr>
          <w:p>
            <w:pPr>
              <w:spacing w:after="0"/>
              <w:rPr>
                <w:sz w:val="1"/>
                <w:szCs w:val="1"/>
                <w:color w:val="auto"/>
              </w:rPr>
            </w:pPr>
          </w:p>
        </w:tc>
      </w:tr>
      <w:tr>
        <w:trPr>
          <w:trHeight w:val="439"/>
        </w:trPr>
        <w:tc>
          <w:tcPr>
            <w:tcW w:w="27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Refinancing Facilities:</w:t>
            </w: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Subject to the Documentation Principles, to be included subject to customary terms and</w:t>
            </w:r>
          </w:p>
        </w:tc>
        <w:tc>
          <w:tcPr>
            <w:tcW w:w="0" w:type="dxa"/>
            <w:vAlign w:val="bottom"/>
          </w:tcPr>
          <w:p>
            <w:pPr>
              <w:spacing w:after="0"/>
              <w:rPr>
                <w:sz w:val="1"/>
                <w:szCs w:val="1"/>
                <w:color w:val="auto"/>
              </w:rPr>
            </w:pPr>
          </w:p>
        </w:tc>
      </w:tr>
      <w:tr>
        <w:trPr>
          <w:trHeight w:val="283"/>
        </w:trPr>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conditions to be mutually agreed upon by the Company and the Arrangers.</w:t>
            </w:r>
          </w:p>
        </w:tc>
        <w:tc>
          <w:tcPr>
            <w:tcW w:w="0" w:type="dxa"/>
            <w:vAlign w:val="bottom"/>
          </w:tcPr>
          <w:p>
            <w:pPr>
              <w:spacing w:after="0"/>
              <w:rPr>
                <w:sz w:val="1"/>
                <w:szCs w:val="1"/>
                <w:color w:val="auto"/>
              </w:rPr>
            </w:pPr>
          </w:p>
        </w:tc>
      </w:tr>
      <w:tr>
        <w:trPr>
          <w:trHeight w:val="453"/>
        </w:trPr>
        <w:tc>
          <w:tcPr>
            <w:tcW w:w="27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Purpose/Use of Proceeds:</w:t>
            </w: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The proceeds of the Term Facilities will be used solely (a) to fund the cash portion of the</w:t>
            </w:r>
          </w:p>
        </w:tc>
        <w:tc>
          <w:tcPr>
            <w:tcW w:w="0" w:type="dxa"/>
            <w:vAlign w:val="bottom"/>
          </w:tcPr>
          <w:p>
            <w:pPr>
              <w:spacing w:after="0"/>
              <w:rPr>
                <w:sz w:val="1"/>
                <w:szCs w:val="1"/>
                <w:color w:val="auto"/>
              </w:rPr>
            </w:pPr>
          </w:p>
        </w:tc>
      </w:tr>
      <w:tr>
        <w:trPr>
          <w:trHeight w:val="241"/>
        </w:trPr>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consideration for the Acquisition and (b) to pay fees, costs and expenses in connection with the</w:t>
            </w:r>
          </w:p>
        </w:tc>
        <w:tc>
          <w:tcPr>
            <w:tcW w:w="0" w:type="dxa"/>
            <w:vAlign w:val="bottom"/>
          </w:tcPr>
          <w:p>
            <w:pPr>
              <w:spacing w:after="0"/>
              <w:rPr>
                <w:sz w:val="1"/>
                <w:szCs w:val="1"/>
                <w:color w:val="auto"/>
              </w:rPr>
            </w:pPr>
          </w:p>
        </w:tc>
      </w:tr>
      <w:tr>
        <w:trPr>
          <w:trHeight w:val="258"/>
        </w:trPr>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Transactions.</w:t>
            </w:r>
          </w:p>
        </w:tc>
        <w:tc>
          <w:tcPr>
            <w:tcW w:w="0" w:type="dxa"/>
            <w:vAlign w:val="bottom"/>
          </w:tcPr>
          <w:p>
            <w:pPr>
              <w:spacing w:after="0"/>
              <w:rPr>
                <w:sz w:val="1"/>
                <w:szCs w:val="1"/>
                <w:color w:val="auto"/>
              </w:rPr>
            </w:pPr>
          </w:p>
        </w:tc>
      </w:tr>
      <w:tr>
        <w:trPr>
          <w:trHeight w:val="467"/>
        </w:trPr>
        <w:tc>
          <w:tcPr>
            <w:tcW w:w="27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Availability:</w:t>
            </w: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A single drawing may be made under each of the Term Facilities on the Closing Date. Amounts</w:t>
            </w:r>
          </w:p>
        </w:tc>
        <w:tc>
          <w:tcPr>
            <w:tcW w:w="0" w:type="dxa"/>
            <w:vAlign w:val="bottom"/>
          </w:tcPr>
          <w:p>
            <w:pPr>
              <w:spacing w:after="0"/>
              <w:rPr>
                <w:sz w:val="1"/>
                <w:szCs w:val="1"/>
                <w:color w:val="auto"/>
              </w:rPr>
            </w:pPr>
          </w:p>
        </w:tc>
      </w:tr>
      <w:tr>
        <w:trPr>
          <w:trHeight w:val="241"/>
        </w:trPr>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borrowed under the Term Facilities that are repaid or prepaid may not be reborrowed. On the</w:t>
            </w:r>
          </w:p>
        </w:tc>
        <w:tc>
          <w:tcPr>
            <w:tcW w:w="0" w:type="dxa"/>
            <w:vAlign w:val="bottom"/>
          </w:tcPr>
          <w:p>
            <w:pPr>
              <w:spacing w:after="0"/>
              <w:rPr>
                <w:sz w:val="1"/>
                <w:szCs w:val="1"/>
                <w:color w:val="auto"/>
              </w:rPr>
            </w:pPr>
          </w:p>
        </w:tc>
      </w:tr>
      <w:tr>
        <w:trPr>
          <w:trHeight w:val="258"/>
        </w:trPr>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w w:val="98"/>
              </w:rPr>
              <w:t>Closing Date, any undrawn commitments under each Term Facility shall automatically terminate.</w:t>
            </w:r>
          </w:p>
        </w:tc>
        <w:tc>
          <w:tcPr>
            <w:tcW w:w="0" w:type="dxa"/>
            <w:vAlign w:val="bottom"/>
          </w:tcPr>
          <w:p>
            <w:pPr>
              <w:spacing w:after="0"/>
              <w:rPr>
                <w:sz w:val="1"/>
                <w:szCs w:val="1"/>
                <w:color w:val="auto"/>
              </w:rPr>
            </w:pPr>
          </w:p>
        </w:tc>
      </w:tr>
      <w:tr>
        <w:trPr>
          <w:trHeight w:val="466"/>
        </w:trPr>
        <w:tc>
          <w:tcPr>
            <w:tcW w:w="27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Closing Date:</w:t>
            </w: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The date, on or before the Commitment Termination Date, on which the borrowings under the</w:t>
            </w:r>
          </w:p>
        </w:tc>
        <w:tc>
          <w:tcPr>
            <w:tcW w:w="0" w:type="dxa"/>
            <w:vAlign w:val="bottom"/>
          </w:tcPr>
          <w:p>
            <w:pPr>
              <w:spacing w:after="0"/>
              <w:rPr>
                <w:sz w:val="1"/>
                <w:szCs w:val="1"/>
                <w:color w:val="auto"/>
              </w:rPr>
            </w:pPr>
          </w:p>
        </w:tc>
      </w:tr>
      <w:tr>
        <w:trPr>
          <w:trHeight w:val="223"/>
        </w:trPr>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0" w:type="dxa"/>
            <w:vAlign w:val="bottom"/>
            <w:gridSpan w:val="15"/>
          </w:tcPr>
          <w:p>
            <w:pPr>
              <w:ind w:left="660"/>
              <w:spacing w:after="0" w:line="223" w:lineRule="exact"/>
              <w:rPr>
                <w:sz w:val="20"/>
                <w:szCs w:val="20"/>
                <w:color w:val="auto"/>
              </w:rPr>
            </w:pPr>
            <w:r>
              <w:rPr>
                <w:rFonts w:ascii="Times New Roman" w:cs="Times New Roman" w:eastAsia="Times New Roman" w:hAnsi="Times New Roman"/>
                <w:sz w:val="20"/>
                <w:szCs w:val="20"/>
                <w:color w:val="auto"/>
              </w:rPr>
              <w:t>Term Facilities are made and the Acquisition is consummated (the “Closing Date”).</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700" w:type="dxa"/>
            <w:vAlign w:val="bottom"/>
            <w:gridSpan w:val="9"/>
            <w:vMerge w:val="restart"/>
          </w:tcPr>
          <w:p>
            <w:pPr>
              <w:spacing w:after="0"/>
              <w:rPr>
                <w:sz w:val="20"/>
                <w:szCs w:val="20"/>
                <w:color w:val="auto"/>
              </w:rPr>
            </w:pPr>
            <w:r>
              <w:rPr>
                <w:rFonts w:ascii="Times New Roman" w:cs="Times New Roman" w:eastAsia="Times New Roman" w:hAnsi="Times New Roman"/>
                <w:sz w:val="20"/>
                <w:szCs w:val="20"/>
                <w:color w:val="auto"/>
              </w:rPr>
              <w:t>Collateral:</w:t>
            </w: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Subject to the Limited Conditionality Provision and customary exceptions to be set forth in the</w:t>
            </w:r>
          </w:p>
        </w:tc>
        <w:tc>
          <w:tcPr>
            <w:tcW w:w="0" w:type="dxa"/>
            <w:vAlign w:val="bottom"/>
          </w:tcPr>
          <w:p>
            <w:pPr>
              <w:spacing w:after="0"/>
              <w:rPr>
                <w:sz w:val="1"/>
                <w:szCs w:val="1"/>
                <w:color w:val="auto"/>
              </w:rPr>
            </w:pPr>
          </w:p>
        </w:tc>
      </w:tr>
      <w:tr>
        <w:trPr>
          <w:trHeight w:val="198"/>
        </w:trPr>
        <w:tc>
          <w:tcPr>
            <w:tcW w:w="2700" w:type="dxa"/>
            <w:vAlign w:val="bottom"/>
            <w:gridSpan w:val="9"/>
            <w:vMerge w:val="continue"/>
          </w:tcPr>
          <w:p>
            <w:pPr>
              <w:spacing w:after="0"/>
              <w:rPr>
                <w:sz w:val="17"/>
                <w:szCs w:val="17"/>
                <w:color w:val="auto"/>
              </w:rPr>
            </w:pPr>
          </w:p>
        </w:tc>
        <w:tc>
          <w:tcPr>
            <w:tcW w:w="8400" w:type="dxa"/>
            <w:vAlign w:val="bottom"/>
            <w:gridSpan w:val="15"/>
          </w:tcPr>
          <w:p>
            <w:pPr>
              <w:ind w:left="660"/>
              <w:spacing w:after="0" w:line="179" w:lineRule="exact"/>
              <w:rPr>
                <w:sz w:val="20"/>
                <w:szCs w:val="20"/>
                <w:color w:val="auto"/>
              </w:rPr>
            </w:pPr>
            <w:r>
              <w:rPr>
                <w:rFonts w:ascii="Times New Roman" w:cs="Times New Roman" w:eastAsia="Times New Roman" w:hAnsi="Times New Roman"/>
                <w:sz w:val="20"/>
                <w:szCs w:val="20"/>
                <w:color w:val="auto"/>
              </w:rPr>
              <w:t>Facility Documentation, all obligations of the Company under the Term Facilities and of the</w:t>
            </w:r>
          </w:p>
        </w:tc>
        <w:tc>
          <w:tcPr>
            <w:tcW w:w="0" w:type="dxa"/>
            <w:vAlign w:val="bottom"/>
          </w:tcPr>
          <w:p>
            <w:pPr>
              <w:spacing w:after="0"/>
              <w:rPr>
                <w:sz w:val="1"/>
                <w:szCs w:val="1"/>
                <w:color w:val="auto"/>
              </w:rPr>
            </w:pPr>
          </w:p>
        </w:tc>
      </w:tr>
      <w:tr>
        <w:trPr>
          <w:trHeight w:val="254"/>
        </w:trPr>
        <w:tc>
          <w:tcPr>
            <w:tcW w:w="6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Guarantors under the guarantees, will be secured by first priority perfected security interests</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(subject to permitted liens) in substantially all existing and after-acquired property of the</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Company and each Guarantor in a manner consistent with the Existing Company Credit</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gridSpan w:val="15"/>
          </w:tcPr>
          <w:p>
            <w:pPr>
              <w:ind w:left="660"/>
              <w:spacing w:after="0" w:line="212" w:lineRule="exact"/>
              <w:rPr>
                <w:sz w:val="20"/>
                <w:szCs w:val="20"/>
                <w:color w:val="auto"/>
              </w:rPr>
            </w:pPr>
            <w:r>
              <w:rPr>
                <w:rFonts w:ascii="Times New Roman" w:cs="Times New Roman" w:eastAsia="Times New Roman" w:hAnsi="Times New Roman"/>
                <w:sz w:val="20"/>
                <w:szCs w:val="20"/>
                <w:color w:val="auto"/>
              </w:rPr>
              <w:t>Agreement (the “Collateral”).</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7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Maturity:</w:t>
            </w: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The maturity date (the “Maturity Date”) of the Term Facilities will be (x) with respect to the</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Term Loan A Credit Facility, the date that is five years after the Closing Date and (y) with</w:t>
            </w:r>
          </w:p>
        </w:tc>
        <w:tc>
          <w:tcPr>
            <w:tcW w:w="0" w:type="dxa"/>
            <w:vAlign w:val="bottom"/>
          </w:tcPr>
          <w:p>
            <w:pPr>
              <w:spacing w:after="0"/>
              <w:rPr>
                <w:sz w:val="1"/>
                <w:szCs w:val="1"/>
                <w:color w:val="auto"/>
              </w:rPr>
            </w:pPr>
          </w:p>
        </w:tc>
      </w:tr>
      <w:tr>
        <w:trPr>
          <w:trHeight w:val="258"/>
        </w:trPr>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0" w:type="dxa"/>
            <w:vAlign w:val="bottom"/>
            <w:gridSpan w:val="15"/>
          </w:tcPr>
          <w:p>
            <w:pPr>
              <w:ind w:left="660"/>
              <w:spacing w:after="0"/>
              <w:rPr>
                <w:sz w:val="20"/>
                <w:szCs w:val="20"/>
                <w:color w:val="auto"/>
              </w:rPr>
            </w:pPr>
            <w:r>
              <w:rPr>
                <w:rFonts w:ascii="Times New Roman" w:cs="Times New Roman" w:eastAsia="Times New Roman" w:hAnsi="Times New Roman"/>
                <w:sz w:val="20"/>
                <w:szCs w:val="20"/>
                <w:color w:val="auto"/>
              </w:rPr>
              <w:t>respect to the Term Loan B Credit Facility, the date that is seven years after the Closing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A-2</w:t>
      </w:r>
    </w:p>
    <w:p>
      <w:pPr>
        <w:sectPr>
          <w:pgSz w:w="11900" w:h="16838" w:orient="portrait"/>
          <w:cols w:equalWidth="0" w:num="1">
            <w:col w:w="11100"/>
          </w:cols>
          <w:pgMar w:left="400" w:top="1440" w:right="399" w:bottom="1440" w:gutter="0" w:footer="0" w:header="0"/>
        </w:sectPr>
      </w:pPr>
    </w:p>
    <w:bookmarkStart w:id="85" w:name="page86"/>
    <w:bookmarkEnd w:id="85"/>
    <w:p>
      <w:pPr>
        <w:spacing w:after="0" w:line="27"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20"/>
          <w:szCs w:val="20"/>
          <w:u w:val="single" w:color="auto"/>
          <w:color w:val="auto"/>
        </w:rPr>
        <w:t>Amortization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Term Facilities will have amortization as follows:</w:t>
      </w:r>
    </w:p>
    <w:p>
      <w:pPr>
        <w:spacing w:after="0" w:line="229" w:lineRule="exact"/>
        <w:rPr>
          <w:sz w:val="20"/>
          <w:szCs w:val="20"/>
          <w:color w:val="auto"/>
        </w:rPr>
      </w:pPr>
    </w:p>
    <w:p>
      <w:pPr>
        <w:jc w:val="both"/>
        <w:ind w:left="3360"/>
        <w:spacing w:after="0" w:line="250" w:lineRule="auto"/>
        <w:rPr>
          <w:sz w:val="20"/>
          <w:szCs w:val="20"/>
          <w:color w:val="auto"/>
        </w:rPr>
      </w:pPr>
      <w:r>
        <w:rPr>
          <w:rFonts w:ascii="Times New Roman" w:cs="Times New Roman" w:eastAsia="Times New Roman" w:hAnsi="Times New Roman"/>
          <w:sz w:val="20"/>
          <w:szCs w:val="20"/>
          <w:color w:val="auto"/>
        </w:rPr>
        <w:t>The Term Loan A Credit Facility will amortize in quarterly installments, commencing with the first fiscal quarter ending after the Closing Date, in aggregate amounts equal to (i) from the Closing Date to the first anniversary of the Closing Date, 1.25% of the original principal amount of the Term Loan A Credit Facility on the Closing Date each quarter, (ii) from the first anniversary of the Closing Date to the third anniversary of the Closing Date, 2.50% of the original principal amount of the Term Loan A Credit Facility on the Closing Date each quarter, and (iii) from the third anniversary of the Closing Date and thereafter, 3.75% of the original principal amount of the Term Loan A Credit Facility on the Closing Date each quarter, with the balance payable on the fifth anniversary of the Closing Date.</w:t>
      </w:r>
    </w:p>
    <w:p>
      <w:pPr>
        <w:spacing w:after="0" w:line="193" w:lineRule="exact"/>
        <w:rPr>
          <w:sz w:val="20"/>
          <w:szCs w:val="20"/>
          <w:color w:val="auto"/>
        </w:rPr>
      </w:pPr>
    </w:p>
    <w:p>
      <w:pPr>
        <w:jc w:val="both"/>
        <w:ind w:left="3360"/>
        <w:spacing w:after="0" w:line="258" w:lineRule="auto"/>
        <w:rPr>
          <w:sz w:val="20"/>
          <w:szCs w:val="20"/>
          <w:color w:val="auto"/>
        </w:rPr>
      </w:pPr>
      <w:r>
        <w:rPr>
          <w:rFonts w:ascii="Times New Roman" w:cs="Times New Roman" w:eastAsia="Times New Roman" w:hAnsi="Times New Roman"/>
          <w:sz w:val="20"/>
          <w:szCs w:val="20"/>
          <w:color w:val="auto"/>
        </w:rPr>
        <w:t>The Term Loan B Credit Facility will amortize in equal quarterly installments, commencing with the first full fiscal quarter ending after the Closing Date, in aggregate quarterly amounts equal to 0.25% of the original principal amount of the Term Loan B Credit Facility on the Closing Date with the balance payable on the seventh anniversary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A-3</w:t>
      </w:r>
    </w:p>
    <w:p>
      <w:pPr>
        <w:sectPr>
          <w:pgSz w:w="11900" w:h="16838" w:orient="portrait"/>
          <w:cols w:equalWidth="0" w:num="1">
            <w:col w:w="11100"/>
          </w:cols>
          <w:pgMar w:left="400" w:top="1440" w:right="399" w:bottom="1440" w:gutter="0" w:footer="0" w:header="0"/>
        </w:sectPr>
      </w:pPr>
    </w:p>
    <w:bookmarkStart w:id="86" w:name="page87"/>
    <w:bookmarkEnd w:id="8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Interest Rate:</w:t>
            </w: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 xml:space="preserve">All amounts outstanding under the Term Facilities will bear interest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w:t>
            </w:r>
          </w:p>
        </w:tc>
      </w:tr>
      <w:tr>
        <w:trPr>
          <w:trHeight w:val="256"/>
        </w:trPr>
        <w:tc>
          <w:tcPr>
            <w:tcW w:w="10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at the Company’s option:</w:t>
            </w:r>
          </w:p>
        </w:tc>
        <w:tc>
          <w:tcPr>
            <w:tcW w:w="264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413"/>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6"/>
          </w:tcPr>
          <w:p>
            <w:pPr>
              <w:ind w:left="540"/>
              <w:spacing w:after="0"/>
              <w:rPr>
                <w:sz w:val="20"/>
                <w:szCs w:val="20"/>
                <w:color w:val="auto"/>
              </w:rPr>
            </w:pPr>
            <w:r>
              <w:rPr>
                <w:rFonts w:ascii="Times New Roman" w:cs="Times New Roman" w:eastAsia="Times New Roman" w:hAnsi="Times New Roman"/>
                <w:sz w:val="20"/>
                <w:szCs w:val="20"/>
                <w:color w:val="auto"/>
              </w:rPr>
              <w:t>(a)  the Base Rate plus the Applicable Margin; or</w:t>
            </w:r>
          </w:p>
        </w:tc>
        <w:tc>
          <w:tcPr>
            <w:tcW w:w="264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25"/>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6"/>
          </w:tcPr>
          <w:p>
            <w:pPr>
              <w:ind w:left="540"/>
              <w:spacing w:after="0"/>
              <w:rPr>
                <w:sz w:val="20"/>
                <w:szCs w:val="20"/>
                <w:color w:val="auto"/>
              </w:rPr>
            </w:pPr>
            <w:r>
              <w:rPr>
                <w:rFonts w:ascii="Times New Roman" w:cs="Times New Roman" w:eastAsia="Times New Roman" w:hAnsi="Times New Roman"/>
                <w:sz w:val="20"/>
                <w:szCs w:val="20"/>
                <w:color w:val="auto"/>
              </w:rPr>
              <w:t>(b)  Term SOFR plus the Applicable Margin.</w:t>
            </w:r>
          </w:p>
        </w:tc>
        <w:tc>
          <w:tcPr>
            <w:tcW w:w="264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r>
      <w:tr>
        <w:trPr>
          <w:trHeight w:val="439"/>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“Applicable Margin” means (i) with respect to loans under the Term Loan A Credit Facility, as</w:t>
            </w: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220" w:type="dxa"/>
            <w:vAlign w:val="bottom"/>
            <w:gridSpan w:val="6"/>
          </w:tcPr>
          <w:p>
            <w:pPr>
              <w:spacing w:after="0" w:line="20" w:lineRule="exact"/>
              <w:rPr>
                <w:sz w:val="1"/>
                <w:szCs w:val="1"/>
                <w:color w:val="auto"/>
              </w:rPr>
            </w:pPr>
          </w:p>
        </w:tc>
      </w:tr>
      <w:tr>
        <w:trPr>
          <w:trHeight w:val="227"/>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900" w:type="dxa"/>
            <w:vAlign w:val="bottom"/>
            <w:gridSpan w:val="8"/>
          </w:tcPr>
          <w:p>
            <w:pPr>
              <w:ind w:left="80"/>
              <w:spacing w:after="0" w:line="228" w:lineRule="exact"/>
              <w:rPr>
                <w:sz w:val="20"/>
                <w:szCs w:val="20"/>
                <w:color w:val="auto"/>
              </w:rPr>
            </w:pPr>
            <w:r>
              <w:rPr>
                <w:rFonts w:ascii="Times New Roman" w:cs="Times New Roman" w:eastAsia="Times New Roman" w:hAnsi="Times New Roman"/>
                <w:sz w:val="20"/>
                <w:szCs w:val="20"/>
                <w:color w:val="auto"/>
              </w:rPr>
              <w:t>determined based on the Company’s “Total Net Leverage Ratio” (to be defined substantially</w:t>
            </w:r>
          </w:p>
        </w:tc>
      </w:tr>
      <w:tr>
        <w:trPr>
          <w:trHeight w:val="243"/>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identical to corresponding term in the Existing Company Credit Agreement) as set forth in the</w:t>
            </w:r>
          </w:p>
        </w:tc>
      </w:tr>
      <w:tr>
        <w:trPr>
          <w:trHeight w:val="229"/>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grid below and (ii) with respect to loans under the Term Loan B Credit Facility that are (x) Term</w:t>
            </w:r>
          </w:p>
        </w:tc>
      </w:tr>
      <w:tr>
        <w:trPr>
          <w:trHeight w:val="258"/>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SOFR loans, 2.25% and (y) Base Rate loans, 1.25%</w:t>
            </w:r>
          </w:p>
        </w:tc>
        <w:tc>
          <w:tcPr>
            <w:tcW w:w="2640" w:type="dxa"/>
            <w:vAlign w:val="bottom"/>
          </w:tcPr>
          <w:p>
            <w:pPr>
              <w:spacing w:after="0"/>
              <w:rPr>
                <w:sz w:val="22"/>
                <w:szCs w:val="22"/>
                <w:color w:val="auto"/>
              </w:rPr>
            </w:pPr>
          </w:p>
        </w:tc>
      </w:tr>
      <w:tr>
        <w:trPr>
          <w:trHeight w:val="453"/>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spacing w:after="0"/>
              <w:rPr>
                <w:sz w:val="24"/>
                <w:szCs w:val="24"/>
                <w:color w:val="auto"/>
              </w:rPr>
            </w:pPr>
          </w:p>
        </w:tc>
      </w:tr>
      <w:tr>
        <w:trPr>
          <w:trHeight w:val="256"/>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20"/>
                <w:szCs w:val="20"/>
                <w:color w:val="auto"/>
              </w:rPr>
              <w:t>Total Net Leverage Ratio</w:t>
            </w:r>
          </w:p>
        </w:tc>
        <w:tc>
          <w:tcPr>
            <w:tcW w:w="5280" w:type="dxa"/>
            <w:vAlign w:val="bottom"/>
            <w:tcBorders>
              <w:left w:val="single" w:sz="8" w:color="auto"/>
              <w:right w:val="single" w:sz="8" w:color="auto"/>
            </w:tcBorders>
            <w:gridSpan w:val="2"/>
          </w:tcPr>
          <w:p>
            <w:pPr>
              <w:ind w:left="1500"/>
              <w:spacing w:after="0"/>
              <w:rPr>
                <w:sz w:val="20"/>
                <w:szCs w:val="20"/>
                <w:color w:val="auto"/>
              </w:rPr>
            </w:pPr>
            <w:r>
              <w:rPr>
                <w:rFonts w:ascii="Times New Roman" w:cs="Times New Roman" w:eastAsia="Times New Roman" w:hAnsi="Times New Roman"/>
                <w:sz w:val="20"/>
                <w:szCs w:val="20"/>
                <w:color w:val="auto"/>
              </w:rPr>
              <w:t>Term Loan A Credit Facility</w:t>
            </w:r>
          </w:p>
        </w:tc>
      </w:tr>
      <w:tr>
        <w:trPr>
          <w:trHeight w:val="237"/>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640" w:type="dxa"/>
            <w:vAlign w:val="bottom"/>
            <w:tcBorders>
              <w:left w:val="single" w:sz="8" w:color="auto"/>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r>
      <w:tr>
        <w:trPr>
          <w:trHeight w:val="227"/>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640" w:type="dxa"/>
            <w:vAlign w:val="bottom"/>
            <w:tcBorders>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Applicable Margin for Term</w:t>
            </w:r>
          </w:p>
        </w:tc>
        <w:tc>
          <w:tcPr>
            <w:tcW w:w="264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Applicable Margin for Base</w:t>
            </w:r>
          </w:p>
        </w:tc>
      </w:tr>
      <w:tr>
        <w:trPr>
          <w:trHeight w:val="258"/>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SOFR Loans</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Rate Loans</w:t>
            </w:r>
          </w:p>
        </w:tc>
      </w:tr>
      <w:tr>
        <w:trPr>
          <w:trHeight w:val="251"/>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2640" w:type="dxa"/>
            <w:vAlign w:val="bottom"/>
            <w:tcBorders>
              <w:bottom w:val="single" w:sz="8" w:color="auto"/>
              <w:right w:val="single" w:sz="8" w:color="auto"/>
            </w:tcBorders>
          </w:tcPr>
          <w:p>
            <w:pPr>
              <w:spacing w:after="0"/>
              <w:rPr>
                <w:sz w:val="21"/>
                <w:szCs w:val="21"/>
                <w:color w:val="auto"/>
              </w:rPr>
            </w:pPr>
          </w:p>
        </w:tc>
      </w:tr>
      <w:tr>
        <w:trPr>
          <w:trHeight w:val="256"/>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20"/>
                <w:szCs w:val="20"/>
                <w:color w:val="auto"/>
              </w:rPr>
              <w:t>Greater than 2.25 to 1.00</w:t>
            </w:r>
          </w:p>
        </w:tc>
        <w:tc>
          <w:tcPr>
            <w:tcW w:w="2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1.75%</w:t>
            </w: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0.75%</w:t>
            </w:r>
          </w:p>
        </w:tc>
      </w:tr>
      <w:tr>
        <w:trPr>
          <w:trHeight w:val="237"/>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64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r>
      <w:tr>
        <w:trPr>
          <w:trHeight w:val="227"/>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gridSpan w:val="6"/>
          </w:tcPr>
          <w:p>
            <w:pPr>
              <w:ind w:left="60"/>
              <w:spacing w:after="0" w:line="228" w:lineRule="exact"/>
              <w:rPr>
                <w:sz w:val="20"/>
                <w:szCs w:val="20"/>
                <w:color w:val="auto"/>
              </w:rPr>
            </w:pPr>
            <w:r>
              <w:rPr>
                <w:rFonts w:ascii="Times New Roman" w:cs="Times New Roman" w:eastAsia="Times New Roman" w:hAnsi="Times New Roman"/>
                <w:sz w:val="20"/>
                <w:szCs w:val="20"/>
                <w:color w:val="auto"/>
              </w:rPr>
              <w:t>Less than or equal to 2.25 to</w:t>
            </w:r>
          </w:p>
        </w:tc>
        <w:tc>
          <w:tcPr>
            <w:tcW w:w="2640" w:type="dxa"/>
            <w:vAlign w:val="bottom"/>
            <w:tcBorders>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rPr>
              <w:t>1.50%</w:t>
            </w:r>
          </w:p>
        </w:tc>
        <w:tc>
          <w:tcPr>
            <w:tcW w:w="264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rPr>
              <w:t>0.50%</w:t>
            </w:r>
          </w:p>
        </w:tc>
      </w:tr>
      <w:tr>
        <w:trPr>
          <w:trHeight w:val="243"/>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20"/>
                <w:szCs w:val="20"/>
                <w:color w:val="auto"/>
              </w:rPr>
              <w:t>1.00 but greater than 1.75 to</w:t>
            </w:r>
          </w:p>
        </w:tc>
        <w:tc>
          <w:tcPr>
            <w:tcW w:w="264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r>
      <w:tr>
        <w:trPr>
          <w:trHeight w:val="258"/>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640" w:type="dxa"/>
            <w:vAlign w:val="bottom"/>
            <w:tcBorders>
              <w:left w:val="single" w:sz="8" w:color="auto"/>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r>
      <w:tr>
        <w:trPr>
          <w:trHeight w:val="237"/>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64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right w:val="single" w:sz="8" w:color="auto"/>
            </w:tcBorders>
          </w:tcPr>
          <w:p>
            <w:pPr>
              <w:spacing w:after="0"/>
              <w:rPr>
                <w:sz w:val="20"/>
                <w:szCs w:val="20"/>
                <w:color w:val="auto"/>
              </w:rPr>
            </w:pPr>
          </w:p>
        </w:tc>
      </w:tr>
      <w:tr>
        <w:trPr>
          <w:trHeight w:val="227"/>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gridSpan w:val="6"/>
          </w:tcPr>
          <w:p>
            <w:pPr>
              <w:ind w:left="60"/>
              <w:spacing w:after="0" w:line="228" w:lineRule="exact"/>
              <w:rPr>
                <w:sz w:val="20"/>
                <w:szCs w:val="20"/>
                <w:color w:val="auto"/>
              </w:rPr>
            </w:pPr>
            <w:r>
              <w:rPr>
                <w:rFonts w:ascii="Times New Roman" w:cs="Times New Roman" w:eastAsia="Times New Roman" w:hAnsi="Times New Roman"/>
                <w:sz w:val="20"/>
                <w:szCs w:val="20"/>
                <w:color w:val="auto"/>
              </w:rPr>
              <w:t>Less than or equal to 1.75 to</w:t>
            </w:r>
          </w:p>
        </w:tc>
        <w:tc>
          <w:tcPr>
            <w:tcW w:w="2640" w:type="dxa"/>
            <w:vAlign w:val="bottom"/>
            <w:tcBorders>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rPr>
              <w:t>1.25%</w:t>
            </w:r>
          </w:p>
        </w:tc>
        <w:tc>
          <w:tcPr>
            <w:tcW w:w="264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rPr>
              <w:t>0.25%</w:t>
            </w:r>
          </w:p>
        </w:tc>
      </w:tr>
      <w:tr>
        <w:trPr>
          <w:trHeight w:val="258"/>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640" w:type="dxa"/>
            <w:vAlign w:val="bottom"/>
            <w:tcBorders>
              <w:left w:val="single" w:sz="8" w:color="auto"/>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r>
      <w:tr>
        <w:trPr>
          <w:trHeight w:val="251"/>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2640" w:type="dxa"/>
            <w:vAlign w:val="bottom"/>
            <w:tcBorders>
              <w:bottom w:val="single" w:sz="8" w:color="auto"/>
              <w:right w:val="single" w:sz="8" w:color="auto"/>
            </w:tcBorders>
          </w:tcPr>
          <w:p>
            <w:pPr>
              <w:spacing w:after="0"/>
              <w:rPr>
                <w:sz w:val="21"/>
                <w:szCs w:val="21"/>
                <w:color w:val="auto"/>
              </w:rPr>
            </w:pPr>
          </w:p>
        </w:tc>
      </w:tr>
      <w:tr>
        <w:trPr>
          <w:trHeight w:val="214"/>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00" w:type="dxa"/>
            <w:vAlign w:val="bottom"/>
            <w:gridSpan w:val="8"/>
          </w:tcPr>
          <w:p>
            <w:pPr>
              <w:ind w:left="80"/>
              <w:spacing w:after="0" w:line="213" w:lineRule="exact"/>
              <w:rPr>
                <w:sz w:val="20"/>
                <w:szCs w:val="20"/>
                <w:color w:val="auto"/>
              </w:rPr>
            </w:pPr>
            <w:r>
              <w:rPr>
                <w:rFonts w:ascii="Times New Roman" w:cs="Times New Roman" w:eastAsia="Times New Roman" w:hAnsi="Times New Roman"/>
                <w:sz w:val="20"/>
                <w:szCs w:val="20"/>
                <w:color w:val="auto"/>
              </w:rPr>
              <w:t>As used herein, “Base Rate” and “Term SOFR” shall be defined in a manner consistent with</w:t>
            </w:r>
          </w:p>
        </w:tc>
      </w:tr>
      <w:tr>
        <w:trPr>
          <w:trHeight w:val="243"/>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JPMCB’s customary practice, with a “floor” of 0.00% for Term SOFR; provided that neither</w:t>
            </w:r>
          </w:p>
        </w:tc>
      </w:tr>
      <w:tr>
        <w:trPr>
          <w:trHeight w:val="258"/>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“Base Rate” nor “Term SOFR” shall include any credit spread adjustment.</w:t>
            </w:r>
          </w:p>
        </w:tc>
      </w:tr>
      <w:tr>
        <w:trPr>
          <w:trHeight w:val="453"/>
        </w:trPr>
        <w:tc>
          <w:tcPr>
            <w:tcW w:w="3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Default Interest:</w:t>
            </w: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Upon the occurrence and during the continuance of a payment default, interest on amounts not</w:t>
            </w:r>
          </w:p>
        </w:tc>
      </w:tr>
      <w:tr>
        <w:trPr>
          <w:trHeight w:val="241"/>
        </w:trPr>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paid when due will accrue at a rate of (a) in the case of principal of any loans, 2% above the rate</w:t>
            </w:r>
          </w:p>
        </w:tc>
      </w:tr>
      <w:tr>
        <w:trPr>
          <w:trHeight w:val="243"/>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otherwise applicable thereto or (b) in the case of any other amount, 2% above the rate applicable</w:t>
            </w:r>
          </w:p>
        </w:tc>
      </w:tr>
      <w:tr>
        <w:trPr>
          <w:trHeight w:val="258"/>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w w:val="99"/>
              </w:rPr>
              <w:t>to Base Rate loans, with such interest being payable on demand.</w:t>
            </w:r>
          </w:p>
        </w:tc>
        <w:tc>
          <w:tcPr>
            <w:tcW w:w="2640" w:type="dxa"/>
            <w:vAlign w:val="bottom"/>
          </w:tcPr>
          <w:p>
            <w:pPr>
              <w:spacing w:after="0"/>
              <w:rPr>
                <w:sz w:val="22"/>
                <w:szCs w:val="22"/>
                <w:color w:val="auto"/>
              </w:rPr>
            </w:pPr>
          </w:p>
        </w:tc>
      </w:tr>
      <w:tr>
        <w:trPr>
          <w:trHeight w:val="453"/>
        </w:trPr>
        <w:tc>
          <w:tcPr>
            <w:tcW w:w="3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Interest Payments:</w:t>
            </w: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Quarterly for loans bearing interest based upon the Base Rate; on the last day of each applicable</w:t>
            </w:r>
          </w:p>
        </w:tc>
      </w:tr>
      <w:tr>
        <w:trPr>
          <w:trHeight w:val="241"/>
        </w:trPr>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interest period (which will be one, three or six months (or such shorter or longer period as shall</w:t>
            </w:r>
          </w:p>
        </w:tc>
      </w:tr>
      <w:tr>
        <w:trPr>
          <w:trHeight w:val="258"/>
        </w:trPr>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9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have been consented to by each Lender)) for loans bearing interest based upon Term SOFR,</w:t>
            </w:r>
          </w:p>
        </w:tc>
      </w:tr>
    </w:tbl>
    <w:p>
      <w:pPr>
        <w:jc w:val="both"/>
        <w:ind w:left="3360" w:right="80"/>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interest payments shall be due at the end of every three months in the case of interest periods of longer than three months; on the Maturity Date; and upon each mandatory or voluntary prepayment on the principal amount prepaid, in each case payable in arrears and computed on the basis of a 360-day year (a 365/366-day year with respect to Base Rate loans determined on the basis of the prime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Exhibit A-4</w:t>
      </w:r>
    </w:p>
    <w:p>
      <w:pPr>
        <w:sectPr>
          <w:pgSz w:w="11900" w:h="16838" w:orient="portrait"/>
          <w:cols w:equalWidth="0" w:num="1">
            <w:col w:w="11180"/>
          </w:cols>
          <w:pgMar w:left="400" w:top="1440" w:right="319" w:bottom="1440" w:gutter="0" w:footer="0" w:header="0"/>
        </w:sectPr>
      </w:pPr>
    </w:p>
    <w:bookmarkStart w:id="87" w:name="page88"/>
    <w:bookmarkEnd w:id="8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Funding Protection and Taxes:</w:t>
            </w: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Customary for transactions of this type and subject to the Documentation Principles.</w:t>
            </w:r>
          </w:p>
        </w:tc>
      </w:tr>
      <w:tr>
        <w:trPr>
          <w:trHeight w:val="493"/>
        </w:trPr>
        <w:tc>
          <w:tcPr>
            <w:tcW w:w="2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Voluntary Prepayments and</w:t>
            </w:r>
          </w:p>
        </w:tc>
        <w:tc>
          <w:tcPr>
            <w:tcW w:w="1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Subject to the immediately following paragraph, each Term Facility may be prepaid in whole or</w:t>
            </w:r>
          </w:p>
        </w:tc>
      </w:tr>
      <w:tr>
        <w:trPr>
          <w:trHeight w:val="223"/>
        </w:trPr>
        <w:tc>
          <w:tcPr>
            <w:tcW w:w="288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Commitment Reductions:</w:t>
            </w:r>
          </w:p>
        </w:tc>
        <w:tc>
          <w:tcPr>
            <w:tcW w:w="8220" w:type="dxa"/>
            <w:vAlign w:val="bottom"/>
            <w:gridSpan w:val="3"/>
          </w:tcPr>
          <w:p>
            <w:pPr>
              <w:ind w:left="480"/>
              <w:spacing w:after="0" w:line="223" w:lineRule="exact"/>
              <w:rPr>
                <w:sz w:val="20"/>
                <w:szCs w:val="20"/>
                <w:color w:val="auto"/>
              </w:rPr>
            </w:pPr>
            <w:r>
              <w:rPr>
                <w:rFonts w:ascii="Times New Roman" w:cs="Times New Roman" w:eastAsia="Times New Roman" w:hAnsi="Times New Roman"/>
                <w:sz w:val="20"/>
                <w:szCs w:val="20"/>
                <w:color w:val="auto"/>
                <w:w w:val="99"/>
              </w:rPr>
              <w:t>in part without premium or penalty upon same business day’s (or, in the case of a prepayment of</w:t>
            </w:r>
          </w:p>
        </w:tc>
      </w:tr>
      <w:tr>
        <w:trPr>
          <w:trHeight w:val="241"/>
        </w:trPr>
        <w:tc>
          <w:tcPr>
            <w:tcW w:w="1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loans bearing interest based upon Term SOFR, three business days’) prior written notice. The</w:t>
            </w:r>
          </w:p>
        </w:tc>
      </w:tr>
      <w:tr>
        <w:trPr>
          <w:trHeight w:val="230"/>
        </w:trPr>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w w:val="99"/>
              </w:rPr>
              <w:t>commitments under the Term Facilities may be terminated in whole or in part by the Company at</w:t>
            </w:r>
          </w:p>
        </w:tc>
      </w:tr>
      <w:tr>
        <w:trPr>
          <w:trHeight w:val="243"/>
        </w:trPr>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any time without penalty. Any optional prepayment of any Term Facility will be applied to the</w:t>
            </w:r>
          </w:p>
        </w:tc>
      </w:tr>
      <w:tr>
        <w:trPr>
          <w:trHeight w:val="258"/>
        </w:trPr>
        <w:tc>
          <w:tcPr>
            <w:tcW w:w="1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remaining scheduled amortization payments thereof as directed by the Borrower.</w:t>
            </w:r>
          </w:p>
        </w:tc>
      </w:tr>
      <w:tr>
        <w:trPr>
          <w:trHeight w:val="430"/>
        </w:trPr>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In the case of (a) any optional prepayment of loans under the Term Loan B Credit Facility with</w:t>
            </w:r>
          </w:p>
        </w:tc>
      </w:tr>
      <w:tr>
        <w:trPr>
          <w:trHeight w:val="243"/>
        </w:trPr>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w w:val="98"/>
              </w:rPr>
              <w:t>the proceeds of, or any exchange of loans under the Term Loan B Credit Facility into, any new or</w:t>
            </w:r>
          </w:p>
        </w:tc>
      </w:tr>
      <w:tr>
        <w:trPr>
          <w:trHeight w:val="229"/>
        </w:trPr>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replacement U.S. dollar-denominated floating rate broadly syndicated pari passu secured term</w:t>
            </w:r>
          </w:p>
        </w:tc>
      </w:tr>
      <w:tr>
        <w:trPr>
          <w:trHeight w:val="243"/>
        </w:trPr>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w w:val="98"/>
              </w:rPr>
              <w:t>loan “B” credit facility having a lower all-in-yield than the all-in-yield of the Term Loan B Credit</w:t>
            </w:r>
          </w:p>
        </w:tc>
      </w:tr>
      <w:tr>
        <w:trPr>
          <w:trHeight w:val="243"/>
        </w:trPr>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Facility or (b) any “repricing” amendment (and any mandatory assignment by a Lender in</w:t>
            </w:r>
          </w:p>
        </w:tc>
      </w:tr>
      <w:tr>
        <w:trPr>
          <w:trHeight w:val="229"/>
        </w:trPr>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connection therewith) of the Term Loan B Credit Facility which reduces the all-in-yield</w:t>
            </w:r>
          </w:p>
        </w:tc>
      </w:tr>
      <w:tr>
        <w:trPr>
          <w:trHeight w:val="243"/>
        </w:trPr>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w w:val="99"/>
              </w:rPr>
              <w:t>applicable to the Term Loan B Credit Facility, in each case prior to the date that is 6 months after</w:t>
            </w:r>
          </w:p>
        </w:tc>
      </w:tr>
      <w:tr>
        <w:trPr>
          <w:trHeight w:val="229"/>
        </w:trPr>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the Closing Date and where the primary purpose (as determined by the Borrower in good faith)</w:t>
            </w:r>
          </w:p>
        </w:tc>
      </w:tr>
      <w:tr>
        <w:trPr>
          <w:trHeight w:val="243"/>
        </w:trPr>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of such prepayment, exchange or amendment is to reduce (and which does in fact so reduce) the</w:t>
            </w:r>
          </w:p>
        </w:tc>
      </w:tr>
      <w:tr>
        <w:trPr>
          <w:trHeight w:val="243"/>
        </w:trPr>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all-in-yield of the Term Loan B Credit Facility, the Borrower shall pay a 1.00% prepayment fee</w:t>
            </w:r>
          </w:p>
        </w:tc>
      </w:tr>
      <w:tr>
        <w:trPr>
          <w:trHeight w:val="229"/>
        </w:trPr>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with respect to any loans under the Term Loan B Credit Facility so prepaid, exchanged or</w:t>
            </w:r>
          </w:p>
        </w:tc>
      </w:tr>
      <w:tr>
        <w:trPr>
          <w:trHeight w:val="212"/>
        </w:trPr>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20" w:type="dxa"/>
            <w:vAlign w:val="bottom"/>
            <w:gridSpan w:val="3"/>
          </w:tcPr>
          <w:p>
            <w:pPr>
              <w:ind w:left="480"/>
              <w:spacing w:after="0" w:line="212" w:lineRule="exact"/>
              <w:rPr>
                <w:sz w:val="20"/>
                <w:szCs w:val="20"/>
                <w:color w:val="auto"/>
              </w:rPr>
            </w:pPr>
            <w:r>
              <w:rPr>
                <w:rFonts w:ascii="Times New Roman" w:cs="Times New Roman" w:eastAsia="Times New Roman" w:hAnsi="Times New Roman"/>
                <w:sz w:val="20"/>
                <w:szCs w:val="20"/>
                <w:color w:val="auto"/>
              </w:rPr>
              <w:t>amended (or mandatorily assigned); provided that no such fee shall be payable in connection</w:t>
            </w:r>
          </w:p>
        </w:tc>
      </w:tr>
      <w:tr>
        <w:trPr>
          <w:trHeight w:val="20"/>
        </w:trPr>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41"/>
        </w:trPr>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w w:val="98"/>
              </w:rPr>
              <w:t>with any transaction that would, if consummated, constitute (i) a change of control, (ii) a material</w:t>
            </w:r>
          </w:p>
        </w:tc>
      </w:tr>
      <w:tr>
        <w:trPr>
          <w:trHeight w:val="243"/>
        </w:trPr>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disposition or a material acquisition or other similar material investment or (iii) any other</w:t>
            </w:r>
          </w:p>
        </w:tc>
      </w:tr>
      <w:tr>
        <w:trPr>
          <w:trHeight w:val="258"/>
        </w:trPr>
        <w:tc>
          <w:tcPr>
            <w:tcW w:w="1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transaction not otherwise permitted by the Facility Documentation.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A-5</w:t>
      </w:r>
    </w:p>
    <w:p>
      <w:pPr>
        <w:sectPr>
          <w:pgSz w:w="11900" w:h="16838" w:orient="portrait"/>
          <w:cols w:equalWidth="0" w:num="1">
            <w:col w:w="11100"/>
          </w:cols>
          <w:pgMar w:left="400" w:top="1440" w:right="399" w:bottom="1440" w:gutter="0" w:footer="0" w:header="0"/>
        </w:sectPr>
      </w:pPr>
    </w:p>
    <w:bookmarkStart w:id="88" w:name="page89"/>
    <w:bookmarkEnd w:id="8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Mandatory Prepayments and</w:t>
            </w: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Loans under the Term Facilities shall be prepaid by the following amounts (without premium or</w:t>
            </w:r>
          </w:p>
        </w:tc>
      </w:tr>
      <w:tr>
        <w:trPr>
          <w:trHeight w:val="223"/>
        </w:trPr>
        <w:tc>
          <w:tcPr>
            <w:tcW w:w="278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Commitment Reductions:</w:t>
            </w:r>
          </w:p>
        </w:tc>
        <w:tc>
          <w:tcPr>
            <w:tcW w:w="8360" w:type="dxa"/>
            <w:vAlign w:val="bottom"/>
          </w:tcPr>
          <w:p>
            <w:pPr>
              <w:jc w:val="right"/>
              <w:ind w:right="6981"/>
              <w:spacing w:after="0" w:line="223" w:lineRule="exact"/>
              <w:rPr>
                <w:sz w:val="20"/>
                <w:szCs w:val="20"/>
                <w:color w:val="auto"/>
              </w:rPr>
            </w:pPr>
            <w:r>
              <w:rPr>
                <w:rFonts w:ascii="Times New Roman" w:cs="Times New Roman" w:eastAsia="Times New Roman" w:hAnsi="Times New Roman"/>
                <w:sz w:val="20"/>
                <w:szCs w:val="20"/>
                <w:color w:val="auto"/>
              </w:rPr>
              <w:t>penalty):</w:t>
            </w:r>
          </w:p>
        </w:tc>
      </w:tr>
      <w:tr>
        <w:trPr>
          <w:trHeight w:val="241"/>
        </w:trPr>
        <w:tc>
          <w:tcPr>
            <w:tcW w:w="19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 commencing with the first full fiscal year of the Company ending after the Closing Date, 50%</w:t>
            </w:r>
          </w:p>
        </w:tc>
      </w:tr>
      <w:tr>
        <w:trPr>
          <w:trHeight w:val="229"/>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of Excess Cash Flow (to be defined in the Facility Documentation in a mutually agreeable</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manner), with step-downs to 25% upon achievement of a First Lien Net Leverage Ratio as of</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 end of the applicable fiscal year equal to or less than 0.25x inside the First Lien Net</w:t>
            </w:r>
          </w:p>
        </w:tc>
      </w:tr>
      <w:tr>
        <w:trPr>
          <w:trHeight w:val="230"/>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Leverage Ratio on the Closing Date and to 0% upon achievement of a First Lien Net Leverage</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Ratio as of the end of the applicable fiscal year equal to or less than 0.50x inside the First Lien</w:t>
            </w:r>
          </w:p>
        </w:tc>
      </w:tr>
      <w:tr>
        <w:trPr>
          <w:trHeight w:val="230"/>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Leverage Ratio on the Closing Date (the “ECF Prepayment Amount”); provided that the</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Company shall only be required to offer to prepay loans under the Term Facilities to the extent</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 resulting Excess Cash Flow prepayment amount exceeds 15% of Consolidated EBITDA</w:t>
            </w:r>
          </w:p>
        </w:tc>
      </w:tr>
      <w:tr>
        <w:trPr>
          <w:trHeight w:val="229"/>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 be calculated substantially identically with the corresponding term in the Existing</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Company Credit Agreement) calculated on a pro forma basis for the then most recently ended</w:t>
            </w:r>
          </w:p>
        </w:tc>
      </w:tr>
      <w:tr>
        <w:trPr>
          <w:trHeight w:val="229"/>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test period (with only amounts in excess of such threshold required to be offered to prepay);</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provided, further, that, at the option of the Company that (w) any voluntary or non-prohibited</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mandatory prepayments, buybacks, redemptions or repurchases of (i) loans under the Term</w:t>
            </w:r>
          </w:p>
        </w:tc>
      </w:tr>
      <w:tr>
        <w:trPr>
          <w:trHeight w:val="230"/>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Facilities, (ii) the revolving credit facility documented under the Existing Company Credit</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Agreement or other revolving indebtedness that is secured on a pari passu basis with the Term</w:t>
            </w:r>
          </w:p>
        </w:tc>
      </w:tr>
      <w:tr>
        <w:trPr>
          <w:trHeight w:val="230"/>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Facilities, in each case, to the extent commitments thereunder are permanently reduced by the</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amount  of  such  prepayments,  (iii)  any  other  unsecured  Indebtedness,  junior  secured</w:t>
            </w:r>
          </w:p>
        </w:tc>
      </w:tr>
      <w:tr>
        <w:trPr>
          <w:trHeight w:val="230"/>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indebtedness or indebtedness that is secured on a pari passu basis with the Term Facilities or</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(iv) any permanent commitment reductions of any of the foregoing (including, in each case,</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through loan buybacks, prepayments in connection with yank-a-bank provisions, prepayments</w:t>
            </w:r>
          </w:p>
        </w:tc>
      </w:tr>
      <w:tr>
        <w:trPr>
          <w:trHeight w:val="229"/>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at a discount to par and open market purchases, with credit in all cases of (i), (ii), (iii) and (iv)</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given for the actual principal amount of any such debt so prepaid, bought back, repurchased,</w:t>
            </w:r>
          </w:p>
        </w:tc>
      </w:tr>
      <w:tr>
        <w:trPr>
          <w:trHeight w:val="229"/>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redeemed or retired (other than prepayments at a discount to par, for which credit shall be</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limited to the amount actually paid) together with any premiums or penalties thereon), (x) the</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aggregate amount of capital expenditures, capitalized software expenditure or acquisitions of</w:t>
            </w:r>
          </w:p>
        </w:tc>
      </w:tr>
      <w:tr>
        <w:trPr>
          <w:trHeight w:val="229"/>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intellectual property, (y) the aggregate amount paid or distributed by the Company and its</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restricted subsidiaries (on a consolidated basis) in connection with acquisitions, other</w:t>
            </w:r>
          </w:p>
        </w:tc>
      </w:tr>
      <w:tr>
        <w:trPr>
          <w:trHeight w:val="229"/>
        </w:trPr>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investments and any certain restricted payments and (z) certain other cash expenditures</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(including any taxes or tax reserves, payments of long-term liabilities and any other non-</w:t>
            </w:r>
          </w:p>
        </w:tc>
      </w:tr>
      <w:tr>
        <w:trPr>
          <w:trHeight w:val="243"/>
        </w:trPr>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expensed cash payment), in each case of clauses (w), (x), (y) and (z), (i) made during such</w:t>
            </w:r>
          </w:p>
        </w:tc>
      </w:tr>
      <w:tr>
        <w:trPr>
          <w:trHeight w:val="258"/>
        </w:trPr>
        <w:tc>
          <w:tcPr>
            <w:tcW w:w="1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360" w:type="dxa"/>
            <w:vAlign w:val="bottom"/>
          </w:tcPr>
          <w:p>
            <w:pPr>
              <w:jc w:val="right"/>
              <w:ind w:right="3941"/>
              <w:spacing w:after="0"/>
              <w:rPr>
                <w:sz w:val="20"/>
                <w:szCs w:val="20"/>
                <w:color w:val="auto"/>
              </w:rPr>
            </w:pPr>
            <w:r>
              <w:rPr>
                <w:rFonts w:ascii="Times New Roman" w:cs="Times New Roman" w:eastAsia="Times New Roman" w:hAnsi="Times New Roman"/>
                <w:sz w:val="20"/>
                <w:szCs w:val="20"/>
                <w:color w:val="auto"/>
              </w:rPr>
              <w:t>fiscal year or, at the option of the Company,</w:t>
            </w:r>
          </w:p>
        </w:tc>
      </w:tr>
      <w:tr>
        <w:trPr>
          <w:trHeight w:val="959"/>
        </w:trPr>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360" w:type="dxa"/>
            <w:vAlign w:val="bottom"/>
          </w:tcPr>
          <w:p>
            <w:pPr>
              <w:jc w:val="right"/>
              <w:ind w:right="5021"/>
              <w:spacing w:after="0"/>
              <w:rPr>
                <w:sz w:val="20"/>
                <w:szCs w:val="20"/>
                <w:color w:val="auto"/>
              </w:rPr>
            </w:pPr>
            <w:r>
              <w:rPr>
                <w:rFonts w:ascii="Times New Roman" w:cs="Times New Roman" w:eastAsia="Times New Roman" w:hAnsi="Times New Roman"/>
                <w:sz w:val="20"/>
                <w:szCs w:val="20"/>
                <w:color w:val="auto"/>
              </w:rPr>
              <w:t>Exhibit A-6</w:t>
            </w:r>
          </w:p>
        </w:tc>
      </w:tr>
    </w:tbl>
    <w:p>
      <w:pPr>
        <w:sectPr>
          <w:pgSz w:w="11900" w:h="16838" w:orient="portrait"/>
          <w:cols w:equalWidth="0" w:num="1">
            <w:col w:w="11140"/>
          </w:cols>
          <w:pgMar w:left="400" w:top="1440" w:right="359" w:bottom="1440" w:gutter="0" w:footer="0" w:header="0"/>
        </w:sectPr>
      </w:pPr>
    </w:p>
    <w:bookmarkStart w:id="89" w:name="page90"/>
    <w:bookmarkEnd w:id="89"/>
    <w:p>
      <w:pPr>
        <w:spacing w:after="0" w:line="27" w:lineRule="exact"/>
        <w:rPr>
          <w:sz w:val="20"/>
          <w:szCs w:val="20"/>
          <w:color w:val="auto"/>
        </w:rPr>
      </w:pPr>
    </w:p>
    <w:p>
      <w:pPr>
        <w:jc w:val="both"/>
        <w:ind w:left="2640"/>
        <w:spacing w:after="0" w:line="263" w:lineRule="auto"/>
        <w:rPr>
          <w:sz w:val="20"/>
          <w:szCs w:val="20"/>
          <w:color w:val="auto"/>
        </w:rPr>
      </w:pPr>
      <w:r>
        <w:rPr>
          <w:rFonts w:ascii="Times New Roman" w:cs="Times New Roman" w:eastAsia="Times New Roman" w:hAnsi="Times New Roman"/>
          <w:sz w:val="19"/>
          <w:szCs w:val="19"/>
          <w:color w:val="auto"/>
        </w:rPr>
        <w:t>after such fiscal year end and prior to the time such excess cash flow payment is due or budgeted or committed (including, without limitation pursuant to any letter of intent (or equivalent) or other agreement) to be made in the next 12 months after the otherwise applicable date on which such excess cash flow prepayment was required to be made (provided that the aggregate amount of any budgeted or committed cash expenditures that are not actually made during such 12 month period or funded with the proceeds of incurrences of long-term indebtedness (other than revolving indebtedness, intercompany indebtedness, indebtedness which has been repaid or any other indebtedness which is intended to be repaid from operating cash flows) shall increase the ECF Prepayment Amount for the subsequent year on a dollar-for-dollar basis) and (ii) other than to the extent such prepayments, expenditures or other cash payments are funded with the proceeds of incurrences of long-term indebtedness (other than revolving indebtedness, intercompany indebtedness, indebtedness which has been repaid or any other indebtedness which is intended to be repaid from operating cash flows), shall, in the case of each of clauses (w), (x), (y) and (z), be credited against the ECF Prepayment Amount for such fiscal year on a dollar-for-dollar basis (without duplication of any amounts deducted in calculating the ECF Prepayment Amount for any prior fiscal year); provided that any of the foregoing credits described in clauses (w), (x), (y) and (z) and portion of the threshold above which an excess cash flow prepayment would be required, which are not required to be utilized in order for the ECF Prepayment Amount to be greater than $0 may be carried forward to reduce ECF Prepayment Amounts in the immediately subsequent fiscal year only (as elected by the Company);</w:t>
      </w:r>
    </w:p>
    <w:p>
      <w:pPr>
        <w:spacing w:after="0" w:line="200" w:lineRule="exact"/>
        <w:rPr>
          <w:sz w:val="20"/>
          <w:szCs w:val="20"/>
          <w:color w:val="auto"/>
        </w:rPr>
      </w:pPr>
    </w:p>
    <w:p>
      <w:pPr>
        <w:spacing w:after="0" w:line="236" w:lineRule="exact"/>
        <w:rPr>
          <w:sz w:val="20"/>
          <w:szCs w:val="20"/>
          <w:color w:val="auto"/>
        </w:rPr>
      </w:pPr>
    </w:p>
    <w:p>
      <w:pPr>
        <w:jc w:val="both"/>
        <w:ind w:left="2600" w:hanging="333"/>
        <w:spacing w:after="0" w:line="268" w:lineRule="auto"/>
        <w:tabs>
          <w:tab w:leader="none" w:pos="258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net after-tax cash proceeds received from the incurrence of indebtedness by the Company or any of its restricted subsidiaries (other than indebtedness permitted under the Facility Documentation (other than permitted refinancing facilities));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Exhibit A-7</w:t>
      </w:r>
    </w:p>
    <w:p>
      <w:pPr>
        <w:sectPr>
          <w:pgSz w:w="11900" w:h="16838" w:orient="portrait"/>
          <w:cols w:equalWidth="0" w:num="1">
            <w:col w:w="10100"/>
          </w:cols>
          <w:pgMar w:left="1440" w:top="1440" w:right="359" w:bottom="1440" w:gutter="0" w:footer="0" w:header="0"/>
        </w:sectPr>
      </w:pPr>
    </w:p>
    <w:bookmarkStart w:id="90" w:name="page91"/>
    <w:bookmarkEnd w:id="90"/>
    <w:p>
      <w:pPr>
        <w:spacing w:after="0" w:line="27" w:lineRule="exact"/>
        <w:rPr>
          <w:sz w:val="20"/>
          <w:szCs w:val="20"/>
          <w:color w:val="auto"/>
        </w:rPr>
      </w:pPr>
    </w:p>
    <w:p>
      <w:pPr>
        <w:jc w:val="both"/>
        <w:ind w:left="2600" w:hanging="333"/>
        <w:spacing w:after="0" w:line="250" w:lineRule="auto"/>
        <w:tabs>
          <w:tab w:leader="none" w:pos="259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net after-tax cash proceeds in excess of the greater of (x) 15% of Consolidated EBITDA calculated on a pro forma basis for the then most recently ended test period and (y) a corresponding dollar amount of all non-ordinary asset sales by the Company and its restricted subsidiaries and casualty insurance and condemnation proceeds received by the Company and its restricted subsidiaries, subject to the right of the Company and its restricted subsidiaries to reinvest an amount equal to such proceeds if such amount is reinvested (or committed to be reinvested) in assets useful to the Company and its restricted subsidiaries’ business, including permitted acquisitions and investments or utilized to prepay indebtedness of restricted subsidiaries, within 12 months and, if so committed to be reinvested, reinvested within 6 months after such initial 12-month period, and other exceptions to be set forth in the Facility Documentation.</w:t>
      </w:r>
    </w:p>
    <w:p>
      <w:pPr>
        <w:spacing w:after="0" w:line="227" w:lineRule="exact"/>
        <w:rPr>
          <w:sz w:val="20"/>
          <w:szCs w:val="20"/>
          <w:color w:val="auto"/>
        </w:rPr>
      </w:pPr>
    </w:p>
    <w:p>
      <w:pPr>
        <w:jc w:val="both"/>
        <w:ind w:left="2320"/>
        <w:spacing w:after="0" w:line="254" w:lineRule="auto"/>
        <w:rPr>
          <w:sz w:val="20"/>
          <w:szCs w:val="20"/>
          <w:color w:val="auto"/>
        </w:rPr>
      </w:pPr>
      <w:r>
        <w:rPr>
          <w:rFonts w:ascii="Times New Roman" w:cs="Times New Roman" w:eastAsia="Times New Roman" w:hAnsi="Times New Roman"/>
          <w:sz w:val="20"/>
          <w:szCs w:val="20"/>
          <w:color w:val="auto"/>
        </w:rPr>
        <w:t>All mandatory prepayments will be applied pro rata to loans under the Term Facilities and to scheduled amortization payments thereof in direct order of maturity, subject to customary provisions for lenders under the Term Facilities, as applicable, to decline mandatory prepayment proceeds.</w:t>
      </w:r>
    </w:p>
    <w:p>
      <w:pPr>
        <w:spacing w:after="0" w:line="214" w:lineRule="exact"/>
        <w:rPr>
          <w:sz w:val="20"/>
          <w:szCs w:val="20"/>
          <w:color w:val="auto"/>
        </w:rPr>
      </w:pPr>
    </w:p>
    <w:p>
      <w:pPr>
        <w:jc w:val="both"/>
        <w:ind w:left="2320"/>
        <w:spacing w:after="0" w:line="283" w:lineRule="auto"/>
        <w:rPr>
          <w:sz w:val="20"/>
          <w:szCs w:val="20"/>
          <w:color w:val="auto"/>
        </w:rPr>
      </w:pPr>
      <w:r>
        <w:rPr>
          <w:rFonts w:ascii="Times New Roman" w:cs="Times New Roman" w:eastAsia="Times New Roman" w:hAnsi="Times New Roman"/>
          <w:sz w:val="20"/>
          <w:szCs w:val="20"/>
          <w:color w:val="auto"/>
        </w:rPr>
        <w:t>The commitments under the Term Facilities shall terminate on the Commitment Termination Date (without giving effect to clause (c) of the definition thereof).</w:t>
      </w:r>
    </w:p>
    <w:p>
      <w:pPr>
        <w:spacing w:after="0" w:line="173" w:lineRule="exact"/>
        <w:rPr>
          <w:sz w:val="20"/>
          <w:szCs w:val="20"/>
          <w:color w:val="auto"/>
        </w:rPr>
      </w:pPr>
    </w:p>
    <w:p>
      <w:pPr>
        <w:jc w:val="both"/>
        <w:ind w:left="2320"/>
        <w:spacing w:after="0" w:line="253" w:lineRule="auto"/>
        <w:rPr>
          <w:sz w:val="20"/>
          <w:szCs w:val="20"/>
          <w:color w:val="auto"/>
        </w:rPr>
      </w:pPr>
      <w:r>
        <w:rPr>
          <w:rFonts w:ascii="Times New Roman" w:cs="Times New Roman" w:eastAsia="Times New Roman" w:hAnsi="Times New Roman"/>
          <w:sz w:val="20"/>
          <w:szCs w:val="20"/>
          <w:color w:val="auto"/>
        </w:rPr>
        <w:t>Mandatory prepayments will not be required to the extent the Company reasonably determines that any required repatriation of funds from the Company’s foreign subsidiaries in order to effect such prepayments would reasonably be expected to: (i) have an adverse tax consequence that is not de minimis for the Company and/or its restricted subsidiaries (taking into account foreign tax credits and other tax attributes), (ii) contravene applicable law, (iii) give rise to a risk of liability for the directors of such subsidiaries or (iv) be prohibited by the organizational document restrictions of non-controlled entities.</w:t>
      </w:r>
    </w:p>
    <w:p>
      <w:pPr>
        <w:spacing w:after="0" w:line="206" w:lineRule="exact"/>
        <w:rPr>
          <w:sz w:val="20"/>
          <w:szCs w:val="20"/>
          <w:color w:val="auto"/>
        </w:rPr>
      </w:pPr>
    </w:p>
    <w:p>
      <w:pPr>
        <w:jc w:val="both"/>
        <w:ind w:left="2320"/>
        <w:spacing w:after="0" w:line="261" w:lineRule="auto"/>
        <w:rPr>
          <w:sz w:val="20"/>
          <w:szCs w:val="20"/>
          <w:color w:val="auto"/>
        </w:rPr>
      </w:pPr>
      <w:r>
        <w:rPr>
          <w:rFonts w:ascii="Times New Roman" w:cs="Times New Roman" w:eastAsia="Times New Roman" w:hAnsi="Times New Roman"/>
          <w:sz w:val="20"/>
          <w:szCs w:val="20"/>
          <w:color w:val="auto"/>
        </w:rPr>
        <w:t>Notwithstanding anything to the contrary contained herein, if the full amount of the Term Loan B Credit Facility is re-allocated to the Term Loan A Credit Facility, the Excess Cash Flow sweep described above shall be removed.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Exhibit A-8</w:t>
      </w:r>
    </w:p>
    <w:p>
      <w:pPr>
        <w:sectPr>
          <w:pgSz w:w="11900" w:h="16838" w:orient="portrait"/>
          <w:cols w:equalWidth="0" w:num="1">
            <w:col w:w="10100"/>
          </w:cols>
          <w:pgMar w:left="1440" w:top="1440" w:right="359" w:bottom="1440" w:gutter="0" w:footer="0" w:header="0"/>
        </w:sectPr>
      </w:pPr>
    </w:p>
    <w:bookmarkStart w:id="91" w:name="page92"/>
    <w:bookmarkEnd w:id="91"/>
    <w:p>
      <w:pPr>
        <w:spacing w:after="0" w:line="27" w:lineRule="exact"/>
        <w:rPr>
          <w:sz w:val="20"/>
          <w:szCs w:val="20"/>
          <w:color w:val="auto"/>
        </w:rPr>
      </w:pPr>
    </w:p>
    <w:p>
      <w:pPr>
        <w:jc w:val="both"/>
        <w:ind w:left="3360" w:hanging="3360"/>
        <w:spacing w:after="0" w:line="262" w:lineRule="auto"/>
        <w:tabs>
          <w:tab w:leader="none" w:pos="3340" w:val="left"/>
        </w:tabs>
        <w:rPr>
          <w:sz w:val="20"/>
          <w:szCs w:val="20"/>
          <w:color w:val="auto"/>
        </w:rPr>
      </w:pPr>
      <w:r>
        <w:rPr>
          <w:rFonts w:ascii="Times New Roman" w:cs="Times New Roman" w:eastAsia="Times New Roman" w:hAnsi="Times New Roman"/>
          <w:sz w:val="20"/>
          <w:szCs w:val="20"/>
          <w:u w:val="single" w:color="auto"/>
          <w:color w:val="auto"/>
        </w:rPr>
        <w:t>Documentation Principles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Term Facilities will be documented as an incremental amendment to the Existing Company Credit Agreement (the “</w:t>
      </w:r>
      <w:r>
        <w:rPr>
          <w:rFonts w:ascii="Times New Roman" w:cs="Times New Roman" w:eastAsia="Times New Roman" w:hAnsi="Times New Roman"/>
          <w:sz w:val="19"/>
          <w:szCs w:val="19"/>
          <w:u w:val="single" w:color="auto"/>
          <w:color w:val="auto"/>
        </w:rPr>
        <w:t>Incremental Amendment</w:t>
      </w:r>
      <w:r>
        <w:rPr>
          <w:rFonts w:ascii="Times New Roman" w:cs="Times New Roman" w:eastAsia="Times New Roman" w:hAnsi="Times New Roman"/>
          <w:sz w:val="19"/>
          <w:szCs w:val="19"/>
          <w:color w:val="auto"/>
        </w:rPr>
        <w:t>”, together with the reaffirmation agreements and other customary credit documentation with respect to the Term Facilities, the “</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Documentation</w:t>
      </w:r>
      <w:r>
        <w:rPr>
          <w:rFonts w:ascii="Times New Roman" w:cs="Times New Roman" w:eastAsia="Times New Roman" w:hAnsi="Times New Roman"/>
          <w:sz w:val="19"/>
          <w:szCs w:val="19"/>
          <w:color w:val="auto"/>
        </w:rPr>
        <w:t xml:space="preserve">”) which will be based on, and substantially similar to the Existing Company Credit Agreement as of the date hereof, with modifications thereto (i) to reflect the terms set forth in this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including the nature of the Term Facilities as term loan A and term loan B credit facilities, and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(ii) to reflect the operational or administrative requirements of the Administrative Agent, (iii) to permit the consummation of the Transactions and assumption of existing debt of the Target and its subsidiaries on the Closing Date that is permitted to remain outstanding pursuant to the Acquisition Agreement (after giving effect to the Transactions), and</w:t>
      </w:r>
    </w:p>
    <w:p>
      <w:pPr>
        <w:spacing w:after="0" w:line="6" w:lineRule="exact"/>
        <w:rPr>
          <w:sz w:val="20"/>
          <w:szCs w:val="20"/>
          <w:color w:val="auto"/>
        </w:rPr>
      </w:pPr>
    </w:p>
    <w:p>
      <w:pPr>
        <w:jc w:val="both"/>
        <w:ind w:left="3360" w:hanging="3"/>
        <w:spacing w:after="0" w:line="249" w:lineRule="auto"/>
        <w:tabs>
          <w:tab w:leader="none" w:pos="379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otherwise mutually agreed by the Company and the Arrangers. The Facility Documentation shall contain (i) only those conditions to borrowing as are expressly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the Commitment Letter and (ii) only those mandatory commitment reductions or prepayments, representations and warranties, covenants and events of default expressly set forth in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in each case, applicable to the Company and its restricted subsidiaries (including the Acquired Business) and with standards, qualifications, thresholds, exceptions, “baskets” and grace and cure periods consistent with the foregoing. The principles set forth in this paragraph are referred to as the “</w:t>
      </w:r>
      <w:r>
        <w:rPr>
          <w:rFonts w:ascii="Times New Roman" w:cs="Times New Roman" w:eastAsia="Times New Roman" w:hAnsi="Times New Roman"/>
          <w:sz w:val="20"/>
          <w:szCs w:val="20"/>
          <w:u w:val="single" w:color="auto"/>
          <w:color w:val="auto"/>
        </w:rPr>
        <w:t>Documentation Principles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A-9</w:t>
      </w:r>
    </w:p>
    <w:p>
      <w:pPr>
        <w:sectPr>
          <w:pgSz w:w="11900" w:h="16838" w:orient="portrait"/>
          <w:cols w:equalWidth="0" w:num="1">
            <w:col w:w="11100"/>
          </w:cols>
          <w:pgMar w:left="400" w:top="1440" w:right="399" w:bottom="1440" w:gutter="0" w:footer="0" w:header="0"/>
        </w:sectPr>
      </w:pPr>
    </w:p>
    <w:bookmarkStart w:id="92" w:name="page93"/>
    <w:bookmarkEnd w:id="92"/>
    <w:p>
      <w:pPr>
        <w:spacing w:after="0" w:line="27" w:lineRule="exact"/>
        <w:rPr>
          <w:sz w:val="20"/>
          <w:szCs w:val="20"/>
          <w:color w:val="auto"/>
        </w:rPr>
      </w:pPr>
    </w:p>
    <w:p>
      <w:pPr>
        <w:jc w:val="both"/>
        <w:ind w:left="3360" w:hanging="3360"/>
        <w:spacing w:after="0" w:line="249" w:lineRule="auto"/>
        <w:tabs>
          <w:tab w:leader="none" w:pos="3340" w:val="left"/>
        </w:tabs>
        <w:rPr>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Subject to the Documentation Principles, the Limited Conditionality Provision and consistent with the Existing Company Credit Agreement, consisting solely of the following representations which shall be with respect to the Company and its restricted subsidiaries (including the Acquired Business): (i) organization, powers, subsidiaries; (ii) authorization, enforceability; (iii) governmental approvals, no conflicts; (iv) financial statements, financial condition, no material adverse change; (v) properties; (vi) litigation and environmental matters; (vii) compliance with laws; (viii) Investment Company Act status; (ix) taxes; (x) ERISA; (xi) disclosure; (xii) Federal Reserve Regulations; (xiii) security interests; (xiv) USA PATRIOT Act; (xv) anti-corruption laws and sanctions; (xvi) insurance; (xvii) no default; (xviii) EEA financial institutions; (xix) plan assets, prohibited transactions; (xx) intellectual property, data security; (xxi) Outbound Investment Rules (limited to a representation that neither the Company nor any of its restricted subsidiaries currently engages, or has any present intention to engage in the future, directly or indirectly, in any activity that would cause the Administrative Agent or any Lender to be in violation of the Outbound Investment Rules or cause the Administrative Agent or any Lender to be legally prohibited by the Outbound Investment Rules from performing under the Facility Documentation); and (xxii) solvency of the Company and its subsidiaries, on a consolidated basis, on the Closing Date after giving effect to the Transactions (such representation and warranty to be consistent with the solvency certificate in the form set forth in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246" w:lineRule="exact"/>
        <w:rPr>
          <w:sz w:val="20"/>
          <w:szCs w:val="20"/>
          <w:color w:val="auto"/>
        </w:rPr>
      </w:pPr>
    </w:p>
    <w:p>
      <w:pPr>
        <w:jc w:val="both"/>
        <w:ind w:left="3360" w:right="20" w:hanging="3360"/>
        <w:spacing w:after="0" w:line="283" w:lineRule="auto"/>
        <w:tabs>
          <w:tab w:leader="none" w:pos="3340" w:val="left"/>
        </w:tabs>
        <w:rPr>
          <w:sz w:val="20"/>
          <w:szCs w:val="20"/>
          <w:color w:val="auto"/>
        </w:rPr>
      </w:pPr>
      <w:r>
        <w:rPr>
          <w:rFonts w:ascii="Times New Roman" w:cs="Times New Roman" w:eastAsia="Times New Roman" w:hAnsi="Times New Roman"/>
          <w:sz w:val="20"/>
          <w:szCs w:val="20"/>
          <w:u w:val="single" w:color="auto"/>
          <w:color w:val="auto"/>
        </w:rPr>
        <w:t>Conditions Precedent to Borrowing</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The several obligation of each Lender to make loans under the Term Facilities on the Closing Date will be subject solely to the satisfaction of the conditions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left="3360" w:right="20" w:hanging="3360"/>
        <w:spacing w:after="0" w:line="267" w:lineRule="auto"/>
        <w:tabs>
          <w:tab w:leader="none" w:pos="3340" w:val="left"/>
        </w:tabs>
        <w:rPr>
          <w:sz w:val="20"/>
          <w:szCs w:val="20"/>
          <w:color w:val="auto"/>
        </w:rPr>
      </w:pPr>
      <w:r>
        <w:rPr>
          <w:rFonts w:ascii="Times New Roman" w:cs="Times New Roman" w:eastAsia="Times New Roman" w:hAnsi="Times New Roman"/>
          <w:sz w:val="20"/>
          <w:szCs w:val="20"/>
          <w:u w:val="single" w:color="auto"/>
          <w:color w:val="auto"/>
        </w:rPr>
        <w:t>Affirmative Covenants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Subject to the Documentation Principles and consistent with the Existing Company Credit Agreement, the Facility Documentation will include only the following affirmative covenants with respect to the Company and, if applicable, its restricted subsidiaries or material subsidiaries:</w:t>
      </w:r>
    </w:p>
    <w:p>
      <w:pPr>
        <w:spacing w:after="0" w:line="2" w:lineRule="exact"/>
        <w:rPr>
          <w:sz w:val="20"/>
          <w:szCs w:val="20"/>
          <w:color w:val="auto"/>
        </w:rPr>
      </w:pPr>
    </w:p>
    <w:p>
      <w:pPr>
        <w:jc w:val="both"/>
        <w:ind w:left="3360" w:hanging="3"/>
        <w:spacing w:after="0" w:line="253" w:lineRule="auto"/>
        <w:tabs>
          <w:tab w:leader="none" w:pos="363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and other information; (ii) notices of material events; (iii) existence, conduct of business; (iv) payment of taxes; (v) maintenance of properties, insurance; (vi) books and records, inspection rights; (vii) compliance with laws; (viii) use of proceeds; (ix) further assurances, additional security and guarantees; and (x) designation of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A-10</w:t>
      </w:r>
    </w:p>
    <w:p>
      <w:pPr>
        <w:sectPr>
          <w:pgSz w:w="11900" w:h="16838" w:orient="portrait"/>
          <w:cols w:equalWidth="0" w:num="1">
            <w:col w:w="11100"/>
          </w:cols>
          <w:pgMar w:left="400" w:top="1440" w:right="399" w:bottom="1440" w:gutter="0" w:footer="0" w:header="0"/>
        </w:sectPr>
      </w:pPr>
    </w:p>
    <w:bookmarkStart w:id="93" w:name="page94"/>
    <w:bookmarkEnd w:id="9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Negative Covenants:</w:t>
            </w: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Subject to the Documentation Principles and consistent with the Existing Company Credit</w:t>
            </w:r>
          </w:p>
        </w:tc>
      </w:tr>
      <w:tr>
        <w:trPr>
          <w:trHeight w:val="241"/>
        </w:trPr>
        <w:tc>
          <w:tcPr>
            <w:tcW w:w="1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Agreement, the Facility Documentation will include only the following negative covenants with</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respect to the Company and, if applicable, its restricted subsidiaries or material subsidiaries: (i)</w:t>
            </w:r>
          </w:p>
        </w:tc>
      </w:tr>
      <w:tr>
        <w:trPr>
          <w:trHeight w:val="229"/>
        </w:trPr>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99"/>
              </w:rPr>
              <w:t>indebtedness; (ii) liens; (iii) restricted payments; (iv) transactions with affiliates; (v) dispositions;</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(vi) changes in fiscal year, accounting standards, lines of business; (vii) fundamental changes;</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(viii) amendments of junior financings; (ix) amendments to organizational documents; (x)</w:t>
            </w:r>
          </w:p>
        </w:tc>
      </w:tr>
      <w:tr>
        <w:trPr>
          <w:trHeight w:val="229"/>
        </w:trPr>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burdensome  agreements;  (xi)  negative  pledge  clauses;  (xii)  clauses  restricting  subsidiary</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distributions; and (xiii) suspension of certain covenants on achievement of investment grade</w:t>
            </w:r>
          </w:p>
        </w:tc>
      </w:tr>
      <w:tr>
        <w:trPr>
          <w:trHeight w:val="258"/>
        </w:trPr>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status.</w:t>
            </w:r>
          </w:p>
        </w:tc>
      </w:tr>
      <w:tr>
        <w:trPr>
          <w:trHeight w:val="453"/>
        </w:trPr>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Financial Covenant:</w:t>
            </w: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98"/>
              </w:rPr>
              <w:t>With respect to the Term Loan A Credit Facility, a maximum Total Net Leverage Ratio of 4.00 to</w:t>
            </w:r>
          </w:p>
        </w:tc>
      </w:tr>
      <w:tr>
        <w:trPr>
          <w:trHeight w:val="241"/>
        </w:trPr>
        <w:tc>
          <w:tcPr>
            <w:tcW w:w="1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1.00 to be tested at the end of each quarter (subject to the Documentation Principles, with</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financial definitions and</w:t>
            </w:r>
          </w:p>
        </w:tc>
      </w:tr>
      <w:tr>
        <w:trPr>
          <w:trHeight w:val="230"/>
        </w:trPr>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“Step-Ups” during “Increase Periods” to be consistent with the Existing Company Credit</w:t>
            </w:r>
          </w:p>
        </w:tc>
      </w:tr>
      <w:tr>
        <w:trPr>
          <w:trHeight w:val="258"/>
        </w:trPr>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Agreement).</w:t>
            </w:r>
          </w:p>
        </w:tc>
      </w:tr>
      <w:tr>
        <w:trPr>
          <w:trHeight w:val="459"/>
        </w:trPr>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With respect to the Term Loan B Credit Facility, none.</w:t>
            </w:r>
          </w:p>
        </w:tc>
      </w:tr>
      <w:tr>
        <w:trPr>
          <w:trHeight w:val="467"/>
        </w:trPr>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Events of Default:</w:t>
            </w: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Subject to the Documentation Principles and consistent with the Existing Company Credit</w:t>
            </w:r>
          </w:p>
        </w:tc>
      </w:tr>
      <w:tr>
        <w:trPr>
          <w:trHeight w:val="241"/>
        </w:trPr>
        <w:tc>
          <w:tcPr>
            <w:tcW w:w="14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99"/>
              </w:rPr>
              <w:t>Agreement, the Facility Documentation will include only the following events of default (and, as</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appropriate, grace periods, in each case with materiality qualifiers, limitations and exceptions</w:t>
            </w:r>
          </w:p>
        </w:tc>
      </w:tr>
      <w:tr>
        <w:trPr>
          <w:trHeight w:val="229"/>
        </w:trPr>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99"/>
              </w:rPr>
              <w:t>consistent with the Documentation Principles) with respect to the Company and, if applicable, its</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restricted subsidiaries or material subsidiaries: failure to make payments when due (subject to,</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other than in the case of principal, grace periods consistent with the Existing Company Credit</w:t>
            </w:r>
          </w:p>
        </w:tc>
      </w:tr>
      <w:tr>
        <w:trPr>
          <w:trHeight w:val="230"/>
        </w:trPr>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Agreement); noncompliance with covenants (subject to, in the case of certain affirmative</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covenants consistent with the Existing Company Credit Agreement, a 30 day grace period);</w:t>
            </w:r>
          </w:p>
        </w:tc>
      </w:tr>
      <w:tr>
        <w:trPr>
          <w:trHeight w:val="230"/>
        </w:trPr>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w w:val="98"/>
              </w:rPr>
              <w:t>representations and warranties materially incorrect when made or deemed made; cross-defaults to</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material indebtedness and material swap contracts; bankruptcy or insolvency proceedings;</w:t>
            </w:r>
          </w:p>
        </w:tc>
      </w:tr>
      <w:tr>
        <w:trPr>
          <w:trHeight w:val="243"/>
        </w:trPr>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inability to pay debts; attachment; material monetary judgment defaults; certain ERISA events;</w:t>
            </w:r>
          </w:p>
        </w:tc>
      </w:tr>
      <w:tr>
        <w:trPr>
          <w:trHeight w:val="258"/>
        </w:trPr>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invalidity of loan documents; and change of control.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A-11</w:t>
      </w:r>
    </w:p>
    <w:p>
      <w:pPr>
        <w:sectPr>
          <w:pgSz w:w="11900" w:h="16838" w:orient="portrait"/>
          <w:cols w:equalWidth="0" w:num="1">
            <w:col w:w="11100"/>
          </w:cols>
          <w:pgMar w:left="400" w:top="1440" w:right="399" w:bottom="1440" w:gutter="0" w:footer="0" w:header="0"/>
        </w:sectPr>
      </w:pPr>
    </w:p>
    <w:bookmarkStart w:id="94" w:name="page95"/>
    <w:bookmarkEnd w:id="94"/>
    <w:p>
      <w:pPr>
        <w:spacing w:after="0" w:line="27" w:lineRule="exact"/>
        <w:rPr>
          <w:sz w:val="20"/>
          <w:szCs w:val="20"/>
          <w:color w:val="auto"/>
        </w:rPr>
      </w:pPr>
    </w:p>
    <w:p>
      <w:pPr>
        <w:jc w:val="both"/>
        <w:ind w:left="3360" w:hanging="3360"/>
        <w:spacing w:after="0" w:line="249" w:lineRule="auto"/>
        <w:tabs>
          <w:tab w:leader="none" w:pos="3340" w:val="left"/>
        </w:tabs>
        <w:rPr>
          <w:sz w:val="20"/>
          <w:szCs w:val="20"/>
          <w:color w:val="auto"/>
        </w:rPr>
      </w:pPr>
      <w:r>
        <w:rPr>
          <w:rFonts w:ascii="Times New Roman" w:cs="Times New Roman" w:eastAsia="Times New Roman" w:hAnsi="Times New Roman"/>
          <w:sz w:val="20"/>
          <w:szCs w:val="20"/>
          <w:u w:val="single" w:color="auto"/>
          <w:color w:val="auto"/>
        </w:rPr>
        <w:t>Assignments and Participations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Subject to the Documentation Principles, the Lenders may assign all or, in an amount of not less than $5,000,000, any part of their respective commitments and loans under either Term Facility, to their affiliates or one or more banks, financial institutions or other persons that are eligible assignees (to exclude any Disqualified Lender), subject to the prior written consent (each such consent not to be unreasonably withheld, conditioned or delayed) of (a) the Administrative Agent and (b) the Company, except that no consent of the Company shall be required after the Closing Date solely during the continuance of a payment or bankruptcy event of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bank, financial institution or other person shall be deemed acceptable to the Company if the Company does not otherwise notify the Administrative Agent of its objection to such bank, financial institution or other person within 10 business days after receiving written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assignments made to another Lender, an approved fund of a Lender or an affiliate of a Lender will not be subject to the above minimum assignment amount and consent requirements. The Lenders will also have the right to sell participations, subject only to customary limitations on voting rights and the Documentation Principles, in their respective shares of the loans made under the Term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A-12</w:t>
      </w:r>
    </w:p>
    <w:p>
      <w:pPr>
        <w:sectPr>
          <w:pgSz w:w="11900" w:h="16838" w:orient="portrait"/>
          <w:cols w:equalWidth="0" w:num="1">
            <w:col w:w="11100"/>
          </w:cols>
          <w:pgMar w:left="400" w:top="1440" w:right="399" w:bottom="1440" w:gutter="0" w:footer="0" w:header="0"/>
        </w:sectPr>
      </w:pPr>
    </w:p>
    <w:bookmarkStart w:id="95" w:name="page96"/>
    <w:bookmarkEnd w:id="9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Amendments and Required</w:t>
            </w: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w w:val="98"/>
              </w:rPr>
              <w:t>Subject to the Documentation Principles, no amendment, modification or waiver of any provision</w:t>
            </w:r>
          </w:p>
        </w:tc>
      </w:tr>
      <w:tr>
        <w:trPr>
          <w:trHeight w:val="223"/>
        </w:trPr>
        <w:tc>
          <w:tcPr>
            <w:tcW w:w="216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0"/>
                <w:szCs w:val="20"/>
                <w:color w:val="auto"/>
              </w:rPr>
              <w:t>Lenders:</w:t>
            </w:r>
          </w:p>
        </w:tc>
        <w:tc>
          <w:tcPr>
            <w:tcW w:w="600" w:type="dxa"/>
            <w:vAlign w:val="bottom"/>
          </w:tcPr>
          <w:p>
            <w:pPr>
              <w:spacing w:after="0"/>
              <w:rPr>
                <w:sz w:val="19"/>
                <w:szCs w:val="19"/>
                <w:color w:val="auto"/>
              </w:rPr>
            </w:pPr>
          </w:p>
        </w:tc>
        <w:tc>
          <w:tcPr>
            <w:tcW w:w="8340" w:type="dxa"/>
            <w:vAlign w:val="bottom"/>
            <w:gridSpan w:val="7"/>
          </w:tcPr>
          <w:p>
            <w:pPr>
              <w:ind w:left="600"/>
              <w:spacing w:after="0" w:line="223" w:lineRule="exact"/>
              <w:rPr>
                <w:sz w:val="20"/>
                <w:szCs w:val="20"/>
                <w:color w:val="auto"/>
              </w:rPr>
            </w:pPr>
            <w:r>
              <w:rPr>
                <w:rFonts w:ascii="Times New Roman" w:cs="Times New Roman" w:eastAsia="Times New Roman" w:hAnsi="Times New Roman"/>
                <w:sz w:val="20"/>
                <w:szCs w:val="20"/>
                <w:color w:val="auto"/>
              </w:rPr>
              <w:t>of the Incremental Amendment (including a waiver of any condition to the funding of the Term</w:t>
            </w:r>
          </w:p>
        </w:tc>
      </w:tr>
      <w:tr>
        <w:trPr>
          <w:trHeight w:val="241"/>
        </w:trPr>
        <w:tc>
          <w:tcPr>
            <w:tcW w:w="64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w w:val="99"/>
              </w:rPr>
              <w:t>Facilities), will be effective without the written approval of Lenders holding more than 50.0% of</w:t>
            </w:r>
          </w:p>
        </w:tc>
      </w:tr>
      <w:tr>
        <w:trPr>
          <w:trHeight w:val="230"/>
        </w:trPr>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w w:val="99"/>
              </w:rPr>
              <w:t>the aggregate amount of outstanding loans or unused commitments under the Term Facilities (the</w:t>
            </w:r>
          </w:p>
        </w:tc>
      </w:tr>
      <w:tr>
        <w:trPr>
          <w:trHeight w:val="212"/>
        </w:trPr>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340" w:type="dxa"/>
            <w:vAlign w:val="bottom"/>
            <w:gridSpan w:val="7"/>
          </w:tcPr>
          <w:p>
            <w:pPr>
              <w:ind w:left="600"/>
              <w:spacing w:after="0" w:line="212" w:lineRule="exact"/>
              <w:rPr>
                <w:sz w:val="20"/>
                <w:szCs w:val="20"/>
                <w:color w:val="auto"/>
              </w:rPr>
            </w:pPr>
            <w:r>
              <w:rPr>
                <w:rFonts w:ascii="Times New Roman" w:cs="Times New Roman" w:eastAsia="Times New Roman" w:hAnsi="Times New Roman"/>
                <w:sz w:val="20"/>
                <w:szCs w:val="20"/>
                <w:color w:val="auto"/>
              </w:rPr>
              <w:t>“Required Lenders”); provided that (a) the consent of each Lender directly adversely affected</w:t>
            </w:r>
          </w:p>
        </w:tc>
      </w:tr>
      <w:tr>
        <w:trPr>
          <w:trHeight w:val="20"/>
        </w:trPr>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54"/>
        </w:trPr>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thereby will be required with respect to (i) reductions in the amount of principal of any loan, (ii)</w:t>
            </w:r>
          </w:p>
        </w:tc>
      </w:tr>
      <w:tr>
        <w:trPr>
          <w:trHeight w:val="229"/>
        </w:trPr>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reductions in interest rates or fees or extensions of the scheduled dates for payment thereof, (iii)</w:t>
            </w:r>
          </w:p>
        </w:tc>
      </w:tr>
      <w:tr>
        <w:trPr>
          <w:trHeight w:val="243"/>
        </w:trPr>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increases in the amounts or extensions of the scheduled expiration date of the Lenders’</w:t>
            </w:r>
          </w:p>
        </w:tc>
      </w:tr>
      <w:tr>
        <w:trPr>
          <w:trHeight w:val="229"/>
        </w:trPr>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commitments, (iv) amendments to any “waterfall” or application of proceeds provisions, the pro</w:t>
            </w:r>
          </w:p>
        </w:tc>
      </w:tr>
      <w:tr>
        <w:trPr>
          <w:trHeight w:val="243"/>
        </w:trPr>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rata sharing provisions or any provisions of the Facility Documentation requiring the ratable</w:t>
            </w:r>
          </w:p>
        </w:tc>
      </w:tr>
      <w:tr>
        <w:trPr>
          <w:trHeight w:val="243"/>
        </w:trPr>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sharing of payments of Lenders and (v) amendments to the Facility Documentation to</w:t>
            </w:r>
          </w:p>
        </w:tc>
      </w:tr>
      <w:tr>
        <w:trPr>
          <w:trHeight w:val="230"/>
        </w:trPr>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w w:val="99"/>
              </w:rPr>
              <w:t>contractually subordinate (1) the liens on all or substantially all of the Collateral to any other lien</w:t>
            </w:r>
          </w:p>
        </w:tc>
      </w:tr>
      <w:tr>
        <w:trPr>
          <w:trHeight w:val="243"/>
        </w:trPr>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on such Collateral securing any other indebtedness for borrowed money and/or (2) any of the</w:t>
            </w:r>
          </w:p>
        </w:tc>
      </w:tr>
      <w:tr>
        <w:trPr>
          <w:trHeight w:val="229"/>
        </w:trPr>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obligations in right of payment to any other indebtedness for borrowed money and (b) the</w:t>
            </w:r>
          </w:p>
        </w:tc>
      </w:tr>
      <w:tr>
        <w:trPr>
          <w:trHeight w:val="243"/>
        </w:trPr>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consent of 100% of the Lenders will be required with respect to (i) reductions of any of the</w:t>
            </w:r>
          </w:p>
        </w:tc>
      </w:tr>
      <w:tr>
        <w:trPr>
          <w:trHeight w:val="243"/>
        </w:trPr>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voting percentages and (ii) release all or substantially all of the guarantees or all or substantially</w:t>
            </w:r>
          </w:p>
        </w:tc>
      </w:tr>
      <w:tr>
        <w:trPr>
          <w:trHeight w:val="212"/>
        </w:trPr>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340" w:type="dxa"/>
            <w:vAlign w:val="bottom"/>
            <w:gridSpan w:val="7"/>
          </w:tcPr>
          <w:p>
            <w:pPr>
              <w:ind w:left="600"/>
              <w:spacing w:after="0" w:line="212" w:lineRule="exact"/>
              <w:rPr>
                <w:sz w:val="20"/>
                <w:szCs w:val="20"/>
                <w:color w:val="auto"/>
              </w:rPr>
            </w:pPr>
            <w:r>
              <w:rPr>
                <w:rFonts w:ascii="Times New Roman" w:cs="Times New Roman" w:eastAsia="Times New Roman" w:hAnsi="Times New Roman"/>
                <w:sz w:val="20"/>
                <w:szCs w:val="20"/>
                <w:color w:val="auto"/>
              </w:rPr>
              <w:t>all of the Collateral; provided that no amendment or waiver shall amend, modify or otherwise</w:t>
            </w:r>
          </w:p>
        </w:tc>
      </w:tr>
      <w:tr>
        <w:trPr>
          <w:trHeight w:val="20"/>
        </w:trPr>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r>
      <w:tr>
        <w:trPr>
          <w:trHeight w:val="241"/>
        </w:trPr>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affect the rights or duties of the Administrative Agent without the prior written consent of the</w:t>
            </w:r>
          </w:p>
        </w:tc>
      </w:tr>
      <w:tr>
        <w:trPr>
          <w:trHeight w:val="229"/>
        </w:trPr>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w w:val="98"/>
              </w:rPr>
              <w:t>Administrative Agent. Notwithstanding the foregoing, any amendments or waivers that adversely</w:t>
            </w:r>
          </w:p>
        </w:tc>
      </w:tr>
      <w:tr>
        <w:trPr>
          <w:trHeight w:val="243"/>
        </w:trPr>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w w:val="99"/>
              </w:rPr>
              <w:t>affect lenders in one Term Facility differently than lenders in the other Term Facility will require</w:t>
            </w:r>
          </w:p>
        </w:tc>
      </w:tr>
      <w:tr>
        <w:trPr>
          <w:trHeight w:val="229"/>
        </w:trPr>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w w:val="98"/>
              </w:rPr>
              <w:t>the approval of the lenders holding the majority of loans or commitments under the Term Facility</w:t>
            </w:r>
          </w:p>
        </w:tc>
      </w:tr>
      <w:tr>
        <w:trPr>
          <w:trHeight w:val="258"/>
        </w:trPr>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which is adversely and differently affected thereby.</w:t>
            </w:r>
          </w:p>
        </w:tc>
      </w:tr>
      <w:tr>
        <w:trPr>
          <w:trHeight w:val="466"/>
        </w:trPr>
        <w:tc>
          <w:tcPr>
            <w:tcW w:w="2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Indemnity and Expenses:</w:t>
            </w:r>
          </w:p>
        </w:tc>
        <w:tc>
          <w:tcPr>
            <w:tcW w:w="8340" w:type="dxa"/>
            <w:vAlign w:val="bottom"/>
            <w:gridSpan w:val="7"/>
          </w:tcPr>
          <w:p>
            <w:pPr>
              <w:ind w:left="600"/>
              <w:spacing w:after="0"/>
              <w:rPr>
                <w:sz w:val="20"/>
                <w:szCs w:val="20"/>
                <w:color w:val="auto"/>
              </w:rPr>
            </w:pPr>
            <w:r>
              <w:rPr>
                <w:rFonts w:ascii="Times New Roman" w:cs="Times New Roman" w:eastAsia="Times New Roman" w:hAnsi="Times New Roman"/>
                <w:sz w:val="20"/>
                <w:szCs w:val="20"/>
                <w:color w:val="auto"/>
              </w:rPr>
              <w:t>Usual and customary for a facility of this type, subject to the Documentation Principles.</w:t>
            </w:r>
          </w:p>
        </w:tc>
      </w:tr>
      <w:tr>
        <w:trPr>
          <w:trHeight w:val="20"/>
        </w:trPr>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Exhibit A-13</w:t>
      </w:r>
    </w:p>
    <w:p>
      <w:pPr>
        <w:sectPr>
          <w:pgSz w:w="11900" w:h="16838" w:orient="portrait"/>
          <w:cols w:equalWidth="0" w:num="1">
            <w:col w:w="11100"/>
          </w:cols>
          <w:pgMar w:left="400" w:top="1440" w:right="399" w:bottom="1440" w:gutter="0" w:footer="0" w:header="0"/>
        </w:sectPr>
      </w:pPr>
    </w:p>
    <w:bookmarkStart w:id="96" w:name="page97"/>
    <w:bookmarkEnd w:id="96"/>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Governing Law and Jurisdiction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EU/UK Bail-in Provisions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Counsel to the Arrangers and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Incremental Amendment will provide that the parties thereto will submit to the exclusive jurisdiction and venue of the federal and state courts sitting in the County and State of New York and will waive any right to trial by jury. New York law will govern the Incremental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the determination of the accuracy of any Acquisition Agreement Representation and whether the Company or its applicable subsidiary has the right to terminate the Company’s or such subsidiary’s obligations under the Acquisition Agreement or to decline to consummate the Acquisition as a result of any inaccuracy of any Acquisition Agreement Representation and (b) the determination of whether the Acquisition has been consummated in accordance with the terms of the Acquisition Agreement shall, in each case, be interpreted, construed and governed in all respects by and in accordance with the laws of the State of Delaware, regardless of the laws that might otherwise govern under applicable conflicts of law principles.</w:t>
      </w:r>
    </w:p>
    <w:p>
      <w:pPr>
        <w:spacing w:after="0" w:line="23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Subject to the Documentation Principles, the Facility Documentation will contain customary EU and UK bail-in provisions.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Exhibit A-14</w:t>
      </w:r>
    </w:p>
    <w:p>
      <w:pPr>
        <w:sectPr>
          <w:pgSz w:w="11900" w:h="16838" w:orient="portrait"/>
          <w:cols w:equalWidth="0" w:num="2">
            <w:col w:w="2640" w:space="720"/>
            <w:col w:w="7740"/>
          </w:cols>
          <w:pgMar w:left="400" w:top="1440" w:right="39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0"/>
          <w:szCs w:val="20"/>
          <w:color w:val="auto"/>
        </w:rPr>
        <w:t>EXHIBIT B</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CONFIDENTIAL</w:t>
      </w:r>
    </w:p>
    <w:p>
      <w:pPr>
        <w:spacing w:after="0" w:line="2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u w:val="single" w:color="auto"/>
          <w:color w:val="auto"/>
        </w:rPr>
        <w:t>Project Sonic</w:t>
      </w:r>
    </w:p>
    <w:p>
      <w:pPr>
        <w:spacing w:after="0" w:line="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u w:val="single" w:color="auto"/>
          <w:color w:val="auto"/>
        </w:rPr>
        <w:t>$2.45 Billion Senior Secured Term Loan Facilities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Summary of Conditions Precedent</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Capitalized terms not otherwise defined in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shall have the same meaning as specified with respect thereto in the Commitment Letter to which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is attached or the other Exhibits to the Commitment Letter. Subject to the Limited Conditionality Provision and the Documentation Principles, the availability of, and borrowings under, the Term Facilities shall be subject solely to the following conditions:</w:t>
      </w:r>
    </w:p>
    <w:p>
      <w:pPr>
        <w:spacing w:after="0" w:line="207" w:lineRule="exact"/>
        <w:rPr>
          <w:sz w:val="20"/>
          <w:szCs w:val="20"/>
          <w:color w:val="auto"/>
        </w:rPr>
      </w:pPr>
    </w:p>
    <w:p>
      <w:pPr>
        <w:jc w:val="both"/>
        <w:ind w:left="660" w:hanging="652"/>
        <w:spacing w:after="0" w:line="209" w:lineRule="auto"/>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The Acquisition shall have been consummated on the Closing Date, or will be consummated substantially concurrently with the funding under the Term Facilities, in all material respects in accordance with the terms of the Acquisition Agreement. The Acquisition Agreement shall not have been amended, supplemented or modified in any respect, or any provision or condition therein waived, or any consent granted thereunder (directly or indirectly), by the Company or any of its subsidiaries, in a manner materially adverse to the interests of the Lenders or the Arrangers (in either case, in their respective capacities as such) without the Arrangers’ prior written consent (such consent not to be unreasonably withheld, delayed or conditioned), it being understood and agreed that (a) any Arranger’s consent shall be deemed to have been given if such Arranger does not object in writing to a written request for such consent within five business days after such written request is delivered to such Arranger, (b) any reduction in the purchase price of the Acquisition shall not be materially adverse to the interests of the Lenders or the Arrangers so long as such decrease is (x) less than 10% of the original consideration for the Acquisition (on an aggregate basis for all such reductions) or (y) allocated to ratably reduce the commitments in respect of the Term Facilities, (c) any increase in the purchase price of the Acquisition shall not be materially adverse to the Lenders or the Arrangers so long as such increase is funded by equity or cash on hand of the Company and its subsidiaries, (d) any adjustment to the consideration for the Acquisition effected pursuant to Section 1.5(c) of the Acquisition Agreement, (e) any adjustment to the form of consideration for the Acquisition will be deemed not to be materially adverse to the interests of the Lenders or the Arrangers and (f) any fluctuation in per share value of any equity consideration component of the consideration under the Acquisition Agreement will be deemed not to be an amendment, supplement, modification or waiver under the Acquisition Agreement.</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22" w:lineRule="auto"/>
        <w:tabs>
          <w:tab w:leader="none" w:pos="6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The Arrangers shall have received (a) audited consolidated balance sheets and the related audited consolidated statements of operations and comprehensive income, cash flows and stockholders’ equity of the Company for each of the most recent three fiscal years ending at least 60 days prior to the Closing Date, (b) unaudited consolidated balance sheets and the related unaudited consolidated statements of operations and comprehensive income, cash flows and stockholders’ equity of the Company for each fiscal quarter (other than the fourth fiscal quarter) ended since the date of the Company’s most recent audited balance sheet delivered pursuant to clause (a) above and at least 40 days prior to the Closing Date, (c)(i) audited consolidated balance sheets of the Target and its subsidiaries, and the related audited statements of operations and comprehensive income, cash flows and stockholders’ equity for the most recent fiscal year of Target ended at least 60 days prior to the Closing Date and (ii) an unaudited condensed consolidated balance sheet and related unaudited condensed consolidated statements of operations, cash flows and stockholders’ equity for each fiscal quarter (other than the fourth fiscal quarter) ended since the date of Target’s most recent audited balance sheet delivered pursuant to clause (c)(i) above and at least 40 days prior to the Closing Date, and (d) pro forma consolidated income statement and balance sheet of the Company and its consolidated subsidiaries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B-1</w:t>
      </w:r>
    </w:p>
    <w:p>
      <w:pPr>
        <w:sectPr>
          <w:pgSz w:w="11900" w:h="16838" w:orient="portrait"/>
          <w:cols w:equalWidth="0" w:num="1">
            <w:col w:w="11240"/>
          </w:cols>
          <w:pgMar w:left="320" w:top="1413" w:right="339" w:bottom="1440" w:gutter="0" w:footer="0" w:header="0"/>
        </w:sectPr>
      </w:pPr>
    </w:p>
    <w:bookmarkStart w:id="98" w:name="page99"/>
    <w:bookmarkEnd w:id="98"/>
    <w:p>
      <w:pPr>
        <w:ind w:left="660" w:hanging="652"/>
        <w:spacing w:after="0"/>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Facility Documentation; Closing Deliverables</w:t>
      </w:r>
      <w:r>
        <w:rPr>
          <w:rFonts w:ascii="Times New Roman" w:cs="Times New Roman" w:eastAsia="Times New Roman" w:hAnsi="Times New Roman"/>
          <w:sz w:val="20"/>
          <w:szCs w:val="20"/>
          <w:color w:val="auto"/>
        </w:rPr>
        <w:t>. On or prior to the Closing Date and subject to the Limited Conditionality Provision,</w:t>
      </w:r>
    </w:p>
    <w:p>
      <w:pPr>
        <w:jc w:val="both"/>
        <w:ind w:left="660" w:hanging="4"/>
        <w:spacing w:after="0" w:line="221" w:lineRule="auto"/>
        <w:tabs>
          <w:tab w:leader="none" w:pos="953"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each Guarantor shall have executed and delivered the applicable Facility Documentation, (b) subject to the Limited Conditionality Provision, the Company and, subject to the limitations set forth in the Section titled “Guarantors” in </w:t>
      </w:r>
      <w:r>
        <w:rPr>
          <w:rFonts w:ascii="Times New Roman" w:cs="Times New Roman" w:eastAsia="Times New Roman" w:hAnsi="Times New Roman"/>
          <w:sz w:val="19"/>
          <w:szCs w:val="19"/>
          <w:u w:val="single" w:color="auto"/>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xml:space="preserve"> to the Commitment Letter, the Guarantors shall have executed and delivered a reaffirmation agreement, in form and substance customary for transactions of this type and consistent with the Existing Company Credit Agreement and the Documentation Principles, and (c) the Administrative Agent shall have received: (i) a customary closing certificate (as to the satisfaction of the closing conditions set forth in Sections 1 and 7 of this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(ii) a customary secretary’s certificate of the Company and each Guarantor, (iii) good standing certificates (or local equivalent, if any) from the jurisdiction of organization of the Company and each Guarantor on the Closing Date dated as of a recent date (in each case to the extent applicable), (iv) a customary notice of borrowing (which shall not contain any representations or warranties or any statement as to the absence of defaults), (v) customary legal opinions; and (vi) a solvency certificate from the chief financial officer of the Company substantially in the form of </w:t>
      </w:r>
      <w:r>
        <w:rPr>
          <w:rFonts w:ascii="Times New Roman" w:cs="Times New Roman" w:eastAsia="Times New Roman" w:hAnsi="Times New Roman"/>
          <w:sz w:val="19"/>
          <w:szCs w:val="19"/>
          <w:u w:val="single" w:color="auto"/>
          <w:color w:val="auto"/>
        </w:rPr>
        <w:t>Annex I</w:t>
      </w:r>
      <w:r>
        <w:rPr>
          <w:rFonts w:ascii="Times New Roman" w:cs="Times New Roman" w:eastAsia="Times New Roman" w:hAnsi="Times New Roman"/>
          <w:sz w:val="19"/>
          <w:szCs w:val="19"/>
          <w:color w:val="auto"/>
        </w:rPr>
        <w:t xml:space="preserve"> hereto.</w:t>
      </w:r>
    </w:p>
    <w:p>
      <w:pPr>
        <w:spacing w:after="0" w:line="153" w:lineRule="exact"/>
        <w:rPr>
          <w:rFonts w:ascii="Times New Roman" w:cs="Times New Roman" w:eastAsia="Times New Roman" w:hAnsi="Times New Roman"/>
          <w:sz w:val="19"/>
          <w:szCs w:val="19"/>
          <w:color w:val="auto"/>
        </w:rPr>
      </w:pPr>
    </w:p>
    <w:p>
      <w:pPr>
        <w:jc w:val="both"/>
        <w:ind w:left="660" w:right="20" w:hanging="652"/>
        <w:spacing w:after="0" w:line="230" w:lineRule="auto"/>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Subject to the Limited Conditionality Provision, all documents and instruments required to create and perfect the Administrative Agent’s security interests in the Collateral shall have been executed and delivered by the Company and the Guarantors and, if applicable, be in proper form for filing.</w:t>
      </w:r>
    </w:p>
    <w:p>
      <w:pPr>
        <w:spacing w:after="0" w:line="148" w:lineRule="exact"/>
        <w:rPr>
          <w:rFonts w:ascii="Times New Roman" w:cs="Times New Roman" w:eastAsia="Times New Roman" w:hAnsi="Times New Roman"/>
          <w:sz w:val="20"/>
          <w:szCs w:val="20"/>
          <w:color w:val="auto"/>
        </w:rPr>
      </w:pPr>
    </w:p>
    <w:p>
      <w:pPr>
        <w:jc w:val="both"/>
        <w:ind w:left="660" w:hanging="652"/>
        <w:spacing w:after="0" w:line="222" w:lineRule="auto"/>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KYC</w:t>
      </w:r>
      <w:r>
        <w:rPr>
          <w:rFonts w:ascii="Times New Roman" w:cs="Times New Roman" w:eastAsia="Times New Roman" w:hAnsi="Times New Roman"/>
          <w:sz w:val="20"/>
          <w:szCs w:val="20"/>
          <w:color w:val="auto"/>
        </w:rPr>
        <w:t>: The Administrative Agent shall have received at least three business days prior to the Closing Date all documentation and other information required by bank regulatory authorities under applicable “know-your-customer” and anti-money laundering rules and regulations, including the Patriot Act and the Beneficial Ownership Regulation, to the extent requested in writing to the Company by the Administrative Agent or any Lender at least 10 business days prior to the Closing Date.</w:t>
      </w:r>
    </w:p>
    <w:p>
      <w:pPr>
        <w:spacing w:after="0" w:line="161" w:lineRule="exact"/>
        <w:rPr>
          <w:rFonts w:ascii="Times New Roman" w:cs="Times New Roman" w:eastAsia="Times New Roman" w:hAnsi="Times New Roman"/>
          <w:sz w:val="20"/>
          <w:szCs w:val="20"/>
          <w:color w:val="auto"/>
        </w:rPr>
      </w:pPr>
    </w:p>
    <w:p>
      <w:pPr>
        <w:jc w:val="both"/>
        <w:ind w:left="660" w:hanging="652"/>
        <w:spacing w:after="0" w:line="237" w:lineRule="auto"/>
        <w:tabs>
          <w:tab w:leader="none" w:pos="6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The Company shall have paid, prior to or substantially concurrently with the funding of the Term Facilities, all fees, expenses and other amounts payable by it under the Commitment Letter, the Fee Letters or the Incremental Amendment on or prior to the Closing Date (in the case of expenses and other amounts, to the extent invoiced at least two business days prior to the Closing Date).</w:t>
      </w:r>
    </w:p>
    <w:p>
      <w:pPr>
        <w:spacing w:after="0" w:line="162" w:lineRule="exact"/>
        <w:rPr>
          <w:rFonts w:ascii="Times New Roman" w:cs="Times New Roman" w:eastAsia="Times New Roman" w:hAnsi="Times New Roman"/>
          <w:sz w:val="19"/>
          <w:szCs w:val="19"/>
          <w:color w:val="auto"/>
        </w:rPr>
      </w:pPr>
    </w:p>
    <w:p>
      <w:pPr>
        <w:jc w:val="both"/>
        <w:ind w:left="660" w:hanging="652"/>
        <w:spacing w:after="0" w:line="213" w:lineRule="auto"/>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Accuracy of Certain Representations and Warranties</w:t>
      </w:r>
      <w:r>
        <w:rPr>
          <w:rFonts w:ascii="Times New Roman" w:cs="Times New Roman" w:eastAsia="Times New Roman" w:hAnsi="Times New Roman"/>
          <w:sz w:val="20"/>
          <w:szCs w:val="20"/>
          <w:color w:val="auto"/>
        </w:rPr>
        <w:t>. (a) The Acquisition Agreement Representations shall be true and correct in all material respects, in each case, as of the Closing Date (although any Acquisition Agreement Representation which expressly relates to a given date or period shall be required only to be true and correct in all material respects as of the respective date or for the respective period, as the case may be) solely to the extent required by the Limited Conditionality Provision and (b) the Specified Representations shall be true and correct in all material respects (unless already qualified by materiality or “material adverse effect”, in which case they shall be true and correct in all respects), in each case as of the Closing Date (although any Specified Representation which expressly relates to a given date or period shall be required only to be true and correct in all material respects as of the respective date or for the respective period,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B-2</w:t>
      </w:r>
    </w:p>
    <w:p>
      <w:pPr>
        <w:sectPr>
          <w:pgSz w:w="11900" w:h="16838" w:orient="portrait"/>
          <w:cols w:equalWidth="0" w:num="1">
            <w:col w:w="11240"/>
          </w:cols>
          <w:pgMar w:left="320" w:top="139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color w:val="auto"/>
        </w:rPr>
        <w:t>Annex I to Exhibit B</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SOLVENCY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ON SEMICONDUCTOR CORPORATION</w:t>
      </w:r>
    </w:p>
    <w:p>
      <w:pPr>
        <w:spacing w:after="0" w:line="227" w:lineRule="exact"/>
        <w:rPr>
          <w:sz w:val="20"/>
          <w:szCs w:val="20"/>
          <w:color w:val="auto"/>
        </w:rPr>
      </w:pPr>
    </w:p>
    <w:p>
      <w:pPr>
        <w:jc w:val="both"/>
        <w:ind w:firstLine="316"/>
        <w:spacing w:after="0" w:line="258" w:lineRule="auto"/>
        <w:rPr>
          <w:sz w:val="20"/>
          <w:szCs w:val="20"/>
          <w:color w:val="auto"/>
        </w:rPr>
      </w:pPr>
      <w:r>
        <w:rPr>
          <w:rFonts w:ascii="Times New Roman" w:cs="Times New Roman" w:eastAsia="Times New Roman" w:hAnsi="Times New Roman"/>
          <w:sz w:val="20"/>
          <w:szCs w:val="20"/>
          <w:color w:val="auto"/>
        </w:rPr>
        <w:t>Pursuant to Section [ ● ] of the Credit Agreement, dated as of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ON Semiconductor Corporation,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lenders party thereto and JPMorgan Chase Bank, N.A., as administrative agent, the undersigned hereby certifies, solely in such undersigned’s capacity as chief financial officer of the Company, and not individually, as follows: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the date hereof, after giving effect to the consummation of the Transactions, including the making of the Loans under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Agreement, and after giving effect to the application of the proceeds thereof:</w:t>
      </w:r>
    </w:p>
    <w:p>
      <w:pPr>
        <w:spacing w:after="0" w:line="207" w:lineRule="exact"/>
        <w:rPr>
          <w:sz w:val="20"/>
          <w:szCs w:val="20"/>
          <w:color w:val="auto"/>
        </w:rPr>
      </w:pPr>
    </w:p>
    <w:p>
      <w:pPr>
        <w:ind w:left="660" w:firstLine="644"/>
        <w:spacing w:after="0" w:line="283" w:lineRule="auto"/>
        <w:tabs>
          <w:tab w:leader="none" w:pos="194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the assets of the Company and its subsidiaries, on a consolidated basis, exceeds, on a consolidated basis, their debts and liabilities, subordinated, contingent or otherwise;</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present fair saleable value of the property of the Company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spacing w:after="0" w:line="181" w:lineRule="exact"/>
        <w:rPr>
          <w:rFonts w:ascii="Times New Roman" w:cs="Times New Roman" w:eastAsia="Times New Roman" w:hAnsi="Times New Roman"/>
          <w:sz w:val="20"/>
          <w:szCs w:val="20"/>
          <w:color w:val="auto"/>
        </w:rPr>
      </w:pPr>
    </w:p>
    <w:p>
      <w:pPr>
        <w:ind w:left="660" w:firstLine="644"/>
        <w:spacing w:after="0" w:line="283" w:lineRule="auto"/>
        <w:tabs>
          <w:tab w:leader="none" w:pos="194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on a consolidated basis, are able to pay their debts and liabilities, subordinated, contingent or otherwise, as such liabilities become absolute and matured; and</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4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on a consolidated basis, are not engaged in, and are not about to engage in, business for which they have unreasonably small capital.</w:t>
      </w:r>
    </w:p>
    <w:p>
      <w:pPr>
        <w:spacing w:after="0" w:line="146" w:lineRule="exact"/>
        <w:rPr>
          <w:sz w:val="20"/>
          <w:szCs w:val="20"/>
          <w:color w:val="auto"/>
        </w:rPr>
      </w:pPr>
    </w:p>
    <w:p>
      <w:pPr>
        <w:jc w:val="both"/>
        <w:ind w:firstLine="202"/>
        <w:spacing w:after="0" w:line="261" w:lineRule="auto"/>
        <w:rPr>
          <w:sz w:val="20"/>
          <w:szCs w:val="20"/>
          <w:color w:val="auto"/>
        </w:rPr>
      </w:pPr>
      <w:r>
        <w:rPr>
          <w:rFonts w:ascii="Times New Roman" w:cs="Times New Roman" w:eastAsia="Times New Roman" w:hAnsi="Times New Roman"/>
          <w:sz w:val="20"/>
          <w:szCs w:val="20"/>
          <w:color w:val="auto"/>
        </w:rPr>
        <w:t>For purposes of this Certificate, the amount of any contingent liability at any time shall be computed as the amount that, in light of all facts and circumstances existing at such time, would reasonably be expected to become an actual and matured liability. Capitalized terms used but not otherwise defined herein shall have the meanings assigned to them in the Credit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Annex I to Exhibit B</w:t>
      </w:r>
    </w:p>
    <w:p>
      <w:pPr>
        <w:sectPr>
          <w:pgSz w:w="11900" w:h="16838" w:orient="portrait"/>
          <w:cols w:equalWidth="0" w:num="1">
            <w:col w:w="11240"/>
          </w:cols>
          <w:pgMar w:left="320" w:top="1413" w:right="339" w:bottom="1440" w:gutter="0" w:footer="0" w:header="0"/>
        </w:sectPr>
      </w:pPr>
    </w:p>
    <w:bookmarkStart w:id="100" w:name="page101"/>
    <w:bookmarkEnd w:id="100"/>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undersigned has executed this Certificate in such undersigned’s capacity as chief financial officer of the Company, on behalf of the Company, and not individually, as of the date first stated above.</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ON SEMICONDUCTOR CORPORATION</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Annex I to Exhibit B</w:t>
      </w:r>
    </w:p>
    <w:p>
      <w:pPr>
        <w:sectPr>
          <w:pgSz w:w="11900" w:h="16838" w:orient="portrait"/>
          <w:cols w:equalWidth="0" w:num="1">
            <w:col w:w="11220"/>
          </w:cols>
          <w:pgMar w:left="320" w:top="1413" w:right="35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 Hassane El-Khoury, certify that:</w:t>
      </w:r>
    </w:p>
    <w:p>
      <w:pPr>
        <w:spacing w:after="0" w:line="252" w:lineRule="exact"/>
        <w:rPr>
          <w:sz w:val="20"/>
          <w:szCs w:val="20"/>
          <w:color w:val="auto"/>
        </w:rPr>
      </w:pPr>
    </w:p>
    <w:p>
      <w:pPr>
        <w:ind w:left="640" w:hanging="326"/>
        <w:spacing w:after="0"/>
        <w:tabs>
          <w:tab w:leader="none" w:pos="6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ON Semiconductor Corporation;</w:t>
      </w:r>
    </w:p>
    <w:p>
      <w:pPr>
        <w:spacing w:after="0" w:line="252" w:lineRule="exact"/>
        <w:rPr>
          <w:rFonts w:ascii="Times New Roman" w:cs="Times New Roman" w:eastAsia="Times New Roman" w:hAnsi="Times New Roman"/>
          <w:sz w:val="18"/>
          <w:szCs w:val="18"/>
          <w:color w:val="auto"/>
        </w:rPr>
      </w:pPr>
    </w:p>
    <w:p>
      <w:pPr>
        <w:jc w:val="both"/>
        <w:ind w:left="640" w:hanging="326"/>
        <w:spacing w:after="0" w:line="266" w:lineRule="auto"/>
        <w:tabs>
          <w:tab w:leader="none" w:pos="6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40" w:hanging="326"/>
        <w:spacing w:after="0" w:line="282" w:lineRule="auto"/>
        <w:tabs>
          <w:tab w:leader="none" w:pos="6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40" w:hanging="326"/>
        <w:spacing w:after="0" w:line="261" w:lineRule="auto"/>
        <w:tabs>
          <w:tab w:leader="none" w:pos="6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ind w:left="1120" w:right="20" w:hanging="482"/>
        <w:spacing w:after="0" w:line="266" w:lineRule="auto"/>
        <w:tabs>
          <w:tab w:leader="none" w:pos="966"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20" w:hanging="482"/>
        <w:spacing w:after="0" w:line="266" w:lineRule="auto"/>
        <w:tabs>
          <w:tab w:leader="none" w:pos="1011"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120" w:right="20" w:hanging="482"/>
        <w:spacing w:after="0" w:line="282" w:lineRule="auto"/>
        <w:tabs>
          <w:tab w:leader="none" w:pos="1025"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120" w:hanging="514"/>
        <w:spacing w:after="0" w:line="266" w:lineRule="auto"/>
        <w:tabs>
          <w:tab w:leader="none" w:pos="100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80" w:right="20" w:hanging="328"/>
        <w:spacing w:after="0" w:line="282" w:lineRule="auto"/>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20" w:hanging="514"/>
        <w:spacing w:after="0" w:line="282" w:lineRule="auto"/>
        <w:tabs>
          <w:tab w:leader="none" w:pos="1032"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20" w:hanging="514"/>
        <w:spacing w:after="0" w:line="282" w:lineRule="auto"/>
        <w:tabs>
          <w:tab w:leader="none" w:pos="97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tabs>
          <w:tab w:leader="none" w:pos="724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7"/>
          <w:szCs w:val="17"/>
          <w:color w:val="auto"/>
        </w:rPr>
        <w:t>/s/ 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34290</wp:posOffset>
            </wp:positionV>
            <wp:extent cx="24174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5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Hassane El-Khoury</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60"/>
          </w:cols>
          <w:pgMar w:left="500" w:top="11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Thad Trent, certify that:</w:t>
      </w:r>
    </w:p>
    <w:p>
      <w:pPr>
        <w:spacing w:after="0" w:line="252" w:lineRule="exact"/>
        <w:rPr>
          <w:sz w:val="20"/>
          <w:szCs w:val="20"/>
          <w:color w:val="auto"/>
        </w:rPr>
      </w:pPr>
    </w:p>
    <w:p>
      <w:pPr>
        <w:ind w:left="1440" w:hanging="642"/>
        <w:spacing w:after="0"/>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ON Semiconductor Corporation;</w:t>
      </w:r>
    </w:p>
    <w:p>
      <w:pPr>
        <w:spacing w:after="0" w:line="252" w:lineRule="exact"/>
        <w:rPr>
          <w:rFonts w:ascii="Times New Roman" w:cs="Times New Roman" w:eastAsia="Times New Roman" w:hAnsi="Times New Roman"/>
          <w:sz w:val="18"/>
          <w:szCs w:val="18"/>
          <w:color w:val="auto"/>
        </w:rPr>
      </w:pPr>
    </w:p>
    <w:p>
      <w:pPr>
        <w:jc w:val="both"/>
        <w:ind w:left="1440" w:hanging="642"/>
        <w:spacing w:after="0" w:line="266"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jc w:val="both"/>
        <w:ind w:left="1440" w:right="20" w:hanging="642"/>
        <w:spacing w:after="0" w:line="282"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440" w:hanging="642"/>
        <w:spacing w:after="0" w:line="266"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940" w:hanging="494"/>
        <w:spacing w:after="0" w:line="266" w:lineRule="auto"/>
        <w:tabs>
          <w:tab w:leader="none" w:pos="183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940" w:hanging="494"/>
        <w:spacing w:after="0" w:line="266" w:lineRule="auto"/>
        <w:tabs>
          <w:tab w:leader="none" w:pos="185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940" w:hanging="494"/>
        <w:spacing w:after="0" w:line="266" w:lineRule="auto"/>
        <w:tabs>
          <w:tab w:leader="none" w:pos="177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940" w:hanging="526"/>
        <w:spacing w:after="0" w:line="266" w:lineRule="auto"/>
        <w:tabs>
          <w:tab w:leader="none" w:pos="177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jc w:val="both"/>
        <w:ind w:left="1440" w:hanging="642"/>
        <w:spacing w:after="0" w:line="266"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Times New Roman" w:cs="Times New Roman" w:eastAsia="Times New Roman" w:hAnsi="Times New Roman"/>
          <w:sz w:val="18"/>
          <w:szCs w:val="18"/>
          <w:color w:val="auto"/>
        </w:rPr>
      </w:pPr>
    </w:p>
    <w:p>
      <w:pPr>
        <w:ind w:left="1940" w:hanging="526"/>
        <w:spacing w:after="0" w:line="312" w:lineRule="auto"/>
        <w:tabs>
          <w:tab w:leader="none" w:pos="1734"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7"/>
          <w:szCs w:val="17"/>
          <w:color w:val="auto"/>
        </w:rPr>
      </w:pPr>
    </w:p>
    <w:p>
      <w:pPr>
        <w:ind w:left="1940" w:hanging="526"/>
        <w:spacing w:after="0" w:line="282" w:lineRule="auto"/>
        <w:tabs>
          <w:tab w:leader="none" w:pos="17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tabs>
          <w:tab w:leader="none" w:pos="740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7"/>
          <w:szCs w:val="17"/>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43180</wp:posOffset>
            </wp:positionV>
            <wp:extent cx="24174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70"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Thad Trent</w:t>
      </w:r>
    </w:p>
    <w:p>
      <w:pPr>
        <w:spacing w:after="0" w:line="6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40" w:top="11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 as adopted pursuant to Section 906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purposes of Section 1350 of Chapter 63 of Title 18 of the United States Code, as adopted pursuant to Section 906 of the Sarbanes-Oxley Act of 2002, each of the undersigned officers of ON Semiconductor Corporation, a Delaware corporation (the “Company”), does hereby certify, to such officer’s knowledge, that:</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Quarterly Report on Form 10-Q for the fiscal quarter ended October 2, 2026 (the “Form 10-Q”) of the Company fully complies with the requirements of Section 13(a) or 15(d) of the Securities Exchange Act of 1934 (15 U.S.C. 78m or 78o(d))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20"/>
          <w:szCs w:val="20"/>
          <w:color w:val="auto"/>
        </w:rPr>
        <w:t>Dated: November 2, 2026</w:t>
      </w:r>
      <w:r>
        <w:rPr>
          <w:sz w:val="20"/>
          <w:szCs w:val="20"/>
          <w:color w:val="auto"/>
        </w:rPr>
        <w:tab/>
      </w:r>
      <w:r>
        <w:rPr>
          <w:rFonts w:ascii="Times New Roman" w:cs="Times New Roman" w:eastAsia="Times New Roman" w:hAnsi="Times New Roman"/>
          <w:sz w:val="19"/>
          <w:szCs w:val="19"/>
          <w:color w:val="auto"/>
        </w:rPr>
        <w:t>/s/ 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40005</wp:posOffset>
            </wp:positionV>
            <wp:extent cx="35572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Hassane El-Khoury</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20"/>
          <w:szCs w:val="20"/>
          <w:color w:val="auto"/>
        </w:rPr>
        <w:t>Dated: November 2, 2026</w:t>
      </w:r>
      <w:r>
        <w:rPr>
          <w:sz w:val="20"/>
          <w:szCs w:val="20"/>
          <w:color w:val="auto"/>
        </w:rPr>
        <w:tab/>
      </w:r>
      <w:r>
        <w:rPr>
          <w:rFonts w:ascii="Times New Roman" w:cs="Times New Roman" w:eastAsia="Times New Roman" w:hAnsi="Times New Roman"/>
          <w:sz w:val="19"/>
          <w:szCs w:val="19"/>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31115</wp:posOffset>
            </wp:positionV>
            <wp:extent cx="35572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6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Thad Trent</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Executive Vice President and</w:t>
      </w:r>
    </w:p>
    <w:p>
      <w:pPr>
        <w:spacing w:after="0" w:line="2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5"/>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2"/>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decimal"/>
      <w:start w:val="4"/>
    </w:lvl>
  </w:abstractNum>
  <w:abstractNum w:abstractNumId="28">
    <w:nsid w:val="5C482A97"/>
    <w:multiLevelType w:val="hybridMultilevel"/>
    <w:lvl w:ilvl="0">
      <w:lvlJc w:val="left"/>
      <w:lvlText w:val="%1."/>
      <w:numFmt w:val="decimal"/>
      <w:start w:val="5"/>
    </w:lvl>
  </w:abstractNum>
  <w:abstractNum w:abstractNumId="29">
    <w:nsid w:val="2463B9EA"/>
    <w:multiLevelType w:val="hybridMultilevel"/>
    <w:lvl w:ilvl="0">
      <w:lvlJc w:val="left"/>
      <w:lvlText w:val="%1."/>
      <w:numFmt w:val="decimal"/>
      <w:start w:val="6"/>
    </w:lvl>
  </w:abstractNum>
  <w:abstractNum w:abstractNumId="30">
    <w:nsid w:val="5E884ADC"/>
    <w:multiLevelType w:val="hybridMultilevel"/>
    <w:lvl w:ilvl="0">
      <w:lvlJc w:val="left"/>
      <w:lvlText w:val="%1."/>
      <w:numFmt w:val="decimal"/>
      <w:start w:val="7"/>
    </w:lvl>
  </w:abstractNum>
  <w:abstractNum w:abstractNumId="31">
    <w:nsid w:val="51EAD36B"/>
    <w:multiLevelType w:val="hybridMultilevel"/>
    <w:lvl w:ilvl="0">
      <w:lvlJc w:val="left"/>
      <w:lvlText w:val="%1."/>
      <w:numFmt w:val="decimal"/>
      <w:start w:val="8"/>
    </w:lvl>
  </w:abstractNum>
  <w:abstractNum w:abstractNumId="32">
    <w:nsid w:val="2D517796"/>
    <w:multiLevelType w:val="hybridMultilevel"/>
    <w:lvl w:ilvl="0">
      <w:lvlJc w:val="left"/>
      <w:lvlText w:val="%1."/>
      <w:numFmt w:val="decimal"/>
      <w:start w:val="9"/>
    </w:lvl>
  </w:abstractNum>
  <w:abstractNum w:abstractNumId="33">
    <w:nsid w:val="580BD78F"/>
    <w:multiLevelType w:val="hybridMultilevel"/>
    <w:lvl w:ilvl="0">
      <w:lvlJc w:val="left"/>
      <w:lvlText w:val="%1."/>
      <w:numFmt w:val="decimal"/>
      <w:start w:val="10"/>
    </w:lvl>
  </w:abstractNum>
  <w:abstractNum w:abstractNumId="34">
    <w:nsid w:val="153EA438"/>
    <w:multiLevelType w:val="hybridMultilevel"/>
    <w:lvl w:ilvl="0">
      <w:lvlJc w:val="left"/>
      <w:lvlText w:val="%1."/>
      <w:numFmt w:val="decimal"/>
      <w:start w:val="11"/>
    </w:lvl>
  </w:abstractNum>
  <w:abstractNum w:abstractNumId="35">
    <w:nsid w:val="3855585C"/>
    <w:multiLevelType w:val="hybridMultilevel"/>
    <w:lvl w:ilvl="0">
      <w:lvlJc w:val="left"/>
      <w:lvlText w:val="%1."/>
      <w:numFmt w:val="decimal"/>
      <w:start w:val="12"/>
    </w:lvl>
  </w:abstractNum>
  <w:abstractNum w:abstractNumId="36">
    <w:nsid w:val="70A64E2A"/>
    <w:multiLevelType w:val="hybridMultilevel"/>
    <w:lvl w:ilvl="0">
      <w:lvlJc w:val="left"/>
      <w:lvlText w:val="(%1)"/>
      <w:numFmt w:val="lowerLetter"/>
      <w:start w:val="2"/>
    </w:lvl>
  </w:abstractNum>
  <w:abstractNum w:abstractNumId="37">
    <w:nsid w:val="6A2342EC"/>
    <w:multiLevelType w:val="hybridMultilevel"/>
    <w:lvl w:ilvl="0">
      <w:lvlJc w:val="left"/>
      <w:lvlText w:val="(%1)"/>
      <w:numFmt w:val="lowerLetter"/>
      <w:start w:val="3"/>
    </w:lvl>
  </w:abstractNum>
  <w:abstractNum w:abstractNumId="38">
    <w:nsid w:val="2A487CB0"/>
    <w:multiLevelType w:val="hybridMultilevel"/>
    <w:lvl w:ilvl="0">
      <w:lvlJc w:val="left"/>
      <w:lvlText w:val="(%1)"/>
      <w:numFmt w:val="lowerRoman"/>
      <w:start w:val="4"/>
    </w:lvl>
  </w:abstractNum>
  <w:abstractNum w:abstractNumId="39">
    <w:nsid w:val="1D4ED43B"/>
    <w:multiLevelType w:val="hybridMultilevel"/>
    <w:lvl w:ilvl="0">
      <w:lvlJc w:val="left"/>
      <w:lvlText w:val="(%1)"/>
      <w:numFmt w:val="lowerRoman"/>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3"/>
    </w:lvl>
    <w:lvl w:ilvl="1">
      <w:lvlJc w:val="left"/>
      <w:lvlText w:val="(%2)"/>
      <w:numFmt w:val="lowerLetter"/>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44">
    <w:nsid w:val="4B588F5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65" Type="http://schemas.openxmlformats.org/officeDocument/2006/relationships/hyperlink" Target="https://www.sec.gov/Archives/edgar/data/1097864/000114036126038294/ef20083030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2026-11-02T15:30:34Z</dcterms:created>
  <dcterms:modified xsi:type="dcterms:W3CDTF">2026-11-02T15:30:34Z</dcterms:modified>
</cp:coreProperties>
</file>