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205105</wp:posOffset>
            </wp:positionH>
            <wp:positionV relativeFrom="page">
              <wp:posOffset>154305</wp:posOffset>
            </wp:positionV>
            <wp:extent cx="7139305"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305" cy="32385"/>
                    </a:xfrm>
                    <a:prstGeom prst="rect">
                      <a:avLst/>
                    </a:prstGeom>
                    <a:noFill/>
                  </pic:spPr>
                </pic:pic>
              </a:graphicData>
            </a:graphic>
          </wp:anchor>
        </w:drawing>
        <w:t>Filed pursuant to Rule 425 under the</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Securities Act of 1933, as amended, and</w:t>
      </w:r>
    </w:p>
    <w:p>
      <w:pPr>
        <w:spacing w:after="0" w:line="1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deemed filed under Rule 14a-12 under the</w:t>
      </w:r>
    </w:p>
    <w:p>
      <w:pPr>
        <w:spacing w:after="0" w:line="1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Securities Exchange Act of 1934, as amended</w:t>
      </w:r>
    </w:p>
    <w:p>
      <w:pPr>
        <w:spacing w:after="0" w:line="198" w:lineRule="exact"/>
        <w:rPr>
          <w:sz w:val="24"/>
          <w:szCs w:val="24"/>
          <w:color w:val="auto"/>
        </w:rPr>
      </w:pPr>
    </w:p>
    <w:p>
      <w:pPr>
        <w:ind w:left="7460"/>
        <w:spacing w:after="0"/>
        <w:rPr>
          <w:sz w:val="20"/>
          <w:szCs w:val="20"/>
          <w:color w:val="auto"/>
        </w:rPr>
      </w:pPr>
      <w:r>
        <w:rPr>
          <w:rFonts w:ascii="Times New Roman" w:cs="Times New Roman" w:eastAsia="Times New Roman" w:hAnsi="Times New Roman"/>
          <w:sz w:val="17"/>
          <w:szCs w:val="17"/>
          <w:color w:val="auto"/>
        </w:rPr>
        <w:t>Filer: ON SEMICONDUCTOR CORP</w:t>
      </w:r>
    </w:p>
    <w:p>
      <w:pPr>
        <w:spacing w:after="0" w:line="27" w:lineRule="exact"/>
        <w:rPr>
          <w:sz w:val="24"/>
          <w:szCs w:val="24"/>
          <w:color w:val="auto"/>
        </w:rPr>
      </w:pPr>
    </w:p>
    <w:p>
      <w:pPr>
        <w:ind w:left="7820"/>
        <w:spacing w:after="0"/>
        <w:rPr>
          <w:sz w:val="20"/>
          <w:szCs w:val="20"/>
          <w:color w:val="auto"/>
        </w:rPr>
      </w:pPr>
      <w:r>
        <w:rPr>
          <w:rFonts w:ascii="Times New Roman" w:cs="Times New Roman" w:eastAsia="Times New Roman" w:hAnsi="Times New Roman"/>
          <w:sz w:val="17"/>
          <w:szCs w:val="17"/>
          <w:color w:val="auto"/>
        </w:rPr>
        <w:t>Commission File No.: 000-49602</w:t>
      </w:r>
    </w:p>
    <w:p>
      <w:pPr>
        <w:spacing w:after="0" w:line="198" w:lineRule="exact"/>
        <w:rPr>
          <w:sz w:val="24"/>
          <w:szCs w:val="24"/>
          <w:color w:val="auto"/>
        </w:rPr>
      </w:pPr>
    </w:p>
    <w:p>
      <w:pPr>
        <w:ind w:left="7240"/>
        <w:spacing w:after="0"/>
        <w:rPr>
          <w:sz w:val="20"/>
          <w:szCs w:val="20"/>
          <w:color w:val="auto"/>
        </w:rPr>
      </w:pPr>
      <w:r>
        <w:rPr>
          <w:rFonts w:ascii="Times New Roman" w:cs="Times New Roman" w:eastAsia="Times New Roman" w:hAnsi="Times New Roman"/>
          <w:sz w:val="17"/>
          <w:szCs w:val="17"/>
          <w:color w:val="auto"/>
        </w:rPr>
        <w:t>Subject Company: Synaptics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-708660</wp:posOffset>
            </wp:positionH>
            <wp:positionV relativeFrom="paragraph">
              <wp:posOffset>407035</wp:posOffset>
            </wp:positionV>
            <wp:extent cx="7198995" cy="6821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8995" cy="6821805"/>
                    </a:xfrm>
                    <a:prstGeom prst="rect">
                      <a:avLst/>
                    </a:prstGeom>
                    <a:noFill/>
                  </pic:spPr>
                </pic:pic>
              </a:graphicData>
            </a:graphic>
          </wp:anchor>
        </w:drawing>
      </w:r>
    </w:p>
    <w:p>
      <w:pPr>
        <w:sectPr>
          <w:pgSz w:w="11900" w:h="16838" w:orient="portrait"/>
          <w:cols w:equalWidth="0" w:num="1">
            <w:col w:w="10120"/>
          </w:cols>
          <w:pgMar w:left="1440" w:top="367"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212725</wp:posOffset>
            </wp:positionH>
            <wp:positionV relativeFrom="page">
              <wp:posOffset>88900</wp:posOffset>
            </wp:positionV>
            <wp:extent cx="7131050" cy="269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131050" cy="269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3"/>
          <w:szCs w:val="3"/>
          <w:color w:val="FFFFFF"/>
        </w:rPr>
        <w:t>Tech n ob og 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
          <w:szCs w:val="1"/>
          <w:color w:val="FFFFFF"/>
        </w:rPr>
        <w:t>Chipmaker Onsemi to Buy Synaptiics in $6 Bil l ion Stoick DealWoikeis i n a fab cb ean ioom at th e On sem i m an u factu ii n g faci b i ty i n Rozn ov pod Radh ostem , Czech Repu bb i cZ Photographer: Michaela Nagyidaiova/BloombergB y Ly n n D 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130810</wp:posOffset>
            </wp:positionV>
            <wp:extent cx="713930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9819"/>
          </w:cols>
          <w:pgMar w:left="640" w:top="1440" w:right="1440"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39305" cy="9923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9305" cy="9923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88900</wp:posOffset>
            </wp:positionV>
            <wp:extent cx="7163435" cy="100126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10012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i w:val="1"/>
          <w:iCs w:val="1"/>
          <w:color w:val="auto"/>
        </w:rPr>
        <w:t>Cautionary Note Regarding Forward-Looking Statements</w:t>
      </w:r>
    </w:p>
    <w:p>
      <w:pPr>
        <w:spacing w:after="0" w:line="221" w:lineRule="exact"/>
        <w:rPr>
          <w:sz w:val="20"/>
          <w:szCs w:val="20"/>
          <w:color w:val="auto"/>
        </w:rPr>
      </w:pPr>
    </w:p>
    <w:p>
      <w:pPr>
        <w:jc w:val="both"/>
        <w:ind w:firstLine="615"/>
        <w:spacing w:after="0" w:line="257" w:lineRule="auto"/>
        <w:rPr>
          <w:sz w:val="20"/>
          <w:szCs w:val="20"/>
          <w:color w:val="auto"/>
        </w:rPr>
      </w:pPr>
      <w:r>
        <w:rPr>
          <w:rFonts w:ascii="Times New Roman" w:cs="Times New Roman" w:eastAsia="Times New Roman" w:hAnsi="Times New Roman"/>
          <w:sz w:val="17"/>
          <w:szCs w:val="17"/>
          <w:color w:val="auto"/>
        </w:rPr>
        <w:t>This communication relates to a proposed business combination transaction between Synaptics Incorporated and ON Semiconductor Corporation. This communication includes forward-looking statements within the meaning of Section 27A of the Securities Act of 1933, as amended, and Section 21E of the Securities Exchange Act of 1934, as amended.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spacing w:after="0" w:line="176" w:lineRule="exact"/>
        <w:rPr>
          <w:sz w:val="20"/>
          <w:szCs w:val="20"/>
          <w:color w:val="auto"/>
        </w:rPr>
      </w:pPr>
    </w:p>
    <w:p>
      <w:pPr>
        <w:jc w:val="both"/>
        <w:ind w:firstLine="615"/>
        <w:spacing w:after="0" w:line="254" w:lineRule="auto"/>
        <w:rPr>
          <w:sz w:val="20"/>
          <w:szCs w:val="20"/>
          <w:color w:val="auto"/>
        </w:rPr>
      </w:pPr>
      <w:r>
        <w:rPr>
          <w:rFonts w:ascii="Times New Roman" w:cs="Times New Roman" w:eastAsia="Times New Roman" w:hAnsi="Times New Roman"/>
          <w:sz w:val="17"/>
          <w:szCs w:val="17"/>
          <w:color w:val="auto"/>
        </w:rPr>
        <w:t>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 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 proposed transaction, will be more fully discussed in the proxy statement/prospectus that will be included in the Registration Statement on Form S-4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spacing w:after="0" w:line="177" w:lineRule="exact"/>
        <w:rPr>
          <w:sz w:val="20"/>
          <w:szCs w:val="20"/>
          <w:color w:val="auto"/>
        </w:rPr>
      </w:pPr>
    </w:p>
    <w:p>
      <w:pPr>
        <w:jc w:val="both"/>
        <w:ind w:firstLine="615"/>
        <w:spacing w:after="0" w:line="258" w:lineRule="auto"/>
        <w:rPr>
          <w:sz w:val="20"/>
          <w:szCs w:val="20"/>
          <w:color w:val="auto"/>
        </w:rPr>
      </w:pPr>
      <w:r>
        <w:rPr>
          <w:rFonts w:ascii="Times New Roman" w:cs="Times New Roman" w:eastAsia="Times New Roman" w:hAnsi="Times New Roman"/>
          <w:sz w:val="17"/>
          <w:szCs w:val="17"/>
          <w:color w:val="auto"/>
        </w:rPr>
        <w:t>In addition, actual results are subject to other risks and uncertainties that relate more broadly to Synaptics’ overall business, including those more fully described in Synaptics’ filings with the Securities and Exchange Commission (“SEC”) including its annual report on Form 10-K for the fiscal year ended June 28, 2025,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Forward-looking statements are not guarantees of performance, and speak only as of the date made, and neither Synaptics nor its management undertakes any obligation to update or revise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227330</wp:posOffset>
            </wp:positionV>
            <wp:extent cx="713930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i w:val="1"/>
          <w:iCs w:val="1"/>
          <w:color w:val="auto"/>
        </w:rPr>
        <w:t>No Offer or Solicitation</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Important Additional Information about the Transaction and Where To Find It</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proposed transaction will be submitted to the stockholders of Synaptics for their consideration. In connection with the proposed transaction, onsemi will file with the SEC a Registration Statement on Form S-4 that will include a proxy statement of Synaptics and that also constitutes a prospectus of onsemi. Each of Synaptics and onsemi will provide the proxy statement/prospectus to Synaptics stockholders. Synaptics and onsemi also plan to file other documents with the SEC regarding the proposed transaction. This document is not a substitute for any prospectus, proxy statement or any other document which Synaptics or onsemi may file with the SEC in connection with the proposed transaction. INVESTORS AND SECURITY HOLDERS ARE URGED TO READ THE PROXY STATEMENT/PROSPECTUS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t>
      </w:r>
      <w:r>
        <w:rPr>
          <w:rFonts w:ascii="Times New Roman" w:cs="Times New Roman" w:eastAsia="Times New Roman" w:hAnsi="Times New Roman"/>
          <w:sz w:val="17"/>
          <w:szCs w:val="17"/>
          <w:u w:val="single" w:color="auto"/>
          <w:color w:val="0000ED"/>
        </w:rPr>
        <w:t>www.sec.gov</w:t>
      </w:r>
      <w:r>
        <w:rPr>
          <w:rFonts w:ascii="Times New Roman" w:cs="Times New Roman" w:eastAsia="Times New Roman" w:hAnsi="Times New Roman"/>
          <w:sz w:val="17"/>
          <w:szCs w:val="17"/>
          <w:color w:val="auto"/>
        </w:rPr>
        <w:t xml:space="preserve">). In addition, investors and stockholders will be able to obtain free copies of the proxy statement/prospectus and other documents filed with the SEC by the parties on Synaptics Investor Relations at </w:t>
      </w:r>
      <w:r>
        <w:rPr>
          <w:rFonts w:ascii="Times New Roman" w:cs="Times New Roman" w:eastAsia="Times New Roman" w:hAnsi="Times New Roman"/>
          <w:sz w:val="17"/>
          <w:szCs w:val="17"/>
          <w:u w:val="single" w:color="auto"/>
          <w:color w:val="0000ED"/>
        </w:rPr>
        <w:t>https://investor.synaptics.com/</w:t>
      </w:r>
      <w:r>
        <w:rPr>
          <w:rFonts w:ascii="Times New Roman" w:cs="Times New Roman" w:eastAsia="Times New Roman" w:hAnsi="Times New Roman"/>
          <w:sz w:val="17"/>
          <w:szCs w:val="17"/>
          <w:color w:val="auto"/>
        </w:rPr>
        <w:t xml:space="preserve"> (for documents filed with the SEC by Synaptics) or onsemi Investor Relations at </w:t>
      </w:r>
      <w:r>
        <w:rPr>
          <w:rFonts w:ascii="Times New Roman" w:cs="Times New Roman" w:eastAsia="Times New Roman" w:hAnsi="Times New Roman"/>
          <w:sz w:val="17"/>
          <w:szCs w:val="17"/>
          <w:u w:val="single" w:color="auto"/>
          <w:color w:val="0000ED"/>
        </w:rPr>
        <w:t>https://investor.onsemi.com/</w:t>
      </w:r>
      <w:r>
        <w:rPr>
          <w:rFonts w:ascii="Times New Roman" w:cs="Times New Roman" w:eastAsia="Times New Roman" w:hAnsi="Times New Roman"/>
          <w:sz w:val="17"/>
          <w:szCs w:val="17"/>
          <w:color w:val="0000ED"/>
        </w:rPr>
        <w:t xml:space="preserve"> </w:t>
      </w:r>
      <w:r>
        <w:rPr>
          <w:rFonts w:ascii="Times New Roman" w:cs="Times New Roman" w:eastAsia="Times New Roman" w:hAnsi="Times New Roman"/>
          <w:sz w:val="17"/>
          <w:szCs w:val="17"/>
          <w:color w:val="000000"/>
        </w:rPr>
        <w:t>(for documents filed with the SEC by onsemi).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Participants in the Solicitation</w:t>
      </w:r>
    </w:p>
    <w:p>
      <w:pPr>
        <w:spacing w:after="0" w:line="221" w:lineRule="exact"/>
        <w:rPr>
          <w:sz w:val="20"/>
          <w:szCs w:val="20"/>
          <w:color w:val="auto"/>
        </w:rPr>
      </w:pPr>
    </w:p>
    <w:p>
      <w:pPr>
        <w:jc w:val="both"/>
        <w:spacing w:after="0" w:line="254" w:lineRule="auto"/>
        <w:rPr>
          <w:rFonts w:ascii="Times New Roman" w:cs="Times New Roman" w:eastAsia="Times New Roman" w:hAnsi="Times New Roman"/>
          <w:sz w:val="17"/>
          <w:szCs w:val="17"/>
          <w:color w:val="000000"/>
        </w:rPr>
      </w:pPr>
      <w:r>
        <w:rPr>
          <w:rFonts w:ascii="Times New Roman" w:cs="Times New Roman" w:eastAsia="Times New Roman" w:hAnsi="Times New Roman"/>
          <w:sz w:val="17"/>
          <w:szCs w:val="17"/>
          <w:color w:val="auto"/>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w:t>
      </w:r>
      <w:hyperlink r:id="rId15">
        <w:r>
          <w:rPr>
            <w:rFonts w:ascii="Times New Roman" w:cs="Times New Roman" w:eastAsia="Times New Roman" w:hAnsi="Times New Roman"/>
            <w:sz w:val="17"/>
            <w:szCs w:val="17"/>
            <w:u w:val="single" w:color="auto"/>
            <w:color w:val="0000EE"/>
          </w:rPr>
          <w:t>September 16, 2025</w:t>
        </w:r>
      </w:hyperlink>
      <w:r>
        <w:rPr>
          <w:rFonts w:ascii="Times New Roman" w:cs="Times New Roman" w:eastAsia="Times New Roman" w:hAnsi="Times New Roman"/>
          <w:sz w:val="17"/>
          <w:szCs w:val="17"/>
          <w:color w:val="auto"/>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7"/>
          <w:szCs w:val="17"/>
          <w:u w:val="single" w:color="auto"/>
          <w:color w:val="0000ED"/>
        </w:rPr>
        <w:t>https://www.sec.gov/edgar/browse/?CIK=817720&amp;owner=exclude</w:t>
      </w:r>
      <w:r>
        <w:rPr>
          <w:rFonts w:ascii="Times New Roman" w:cs="Times New Roman" w:eastAsia="Times New Roman" w:hAnsi="Times New Roman"/>
          <w:sz w:val="17"/>
          <w:szCs w:val="17"/>
          <w:color w:val="0000ED"/>
        </w:rPr>
        <w:t xml:space="preserve"> </w:t>
      </w:r>
      <w:r>
        <w:rPr>
          <w:rFonts w:ascii="Times New Roman" w:cs="Times New Roman" w:eastAsia="Times New Roman" w:hAnsi="Times New Roman"/>
          <w:sz w:val="17"/>
          <w:szCs w:val="17"/>
          <w:color w:val="000000"/>
        </w:rPr>
        <w:t>under the tab “Ownership Disclosures”. You can find more detailed information about onsemi’s</w:t>
      </w:r>
      <w:r>
        <w:rPr>
          <w:rFonts w:ascii="Times New Roman" w:cs="Times New Roman" w:eastAsia="Times New Roman" w:hAnsi="Times New Roman"/>
          <w:sz w:val="17"/>
          <w:szCs w:val="17"/>
          <w:color w:val="0000ED"/>
        </w:rPr>
        <w:t xml:space="preserve"> </w:t>
      </w:r>
      <w:r>
        <w:rPr>
          <w:rFonts w:ascii="Times New Roman" w:cs="Times New Roman" w:eastAsia="Times New Roman" w:hAnsi="Times New Roman"/>
          <w:sz w:val="17"/>
          <w:szCs w:val="17"/>
          <w:color w:val="000000"/>
        </w:rPr>
        <w:t xml:space="preserve">executive officers and directors under the headings “The Board of Directors and Corporate Governance,” “Compensation of Executive Officers” and “Stock Ownership” in its definitive proxy statement filed with the SEC on </w:t>
      </w:r>
      <w:hyperlink r:id="rId16">
        <w:r>
          <w:rPr>
            <w:rFonts w:ascii="Times New Roman" w:cs="Times New Roman" w:eastAsia="Times New Roman" w:hAnsi="Times New Roman"/>
            <w:sz w:val="17"/>
            <w:szCs w:val="17"/>
            <w:u w:val="single" w:color="auto"/>
            <w:color w:val="0000EE"/>
          </w:rPr>
          <w:t>April 2, 2026</w:t>
        </w:r>
      </w:hyperlink>
      <w:r>
        <w:rPr>
          <w:rFonts w:ascii="Times New Roman" w:cs="Times New Roman" w:eastAsia="Times New Roman" w:hAnsi="Times New Roman"/>
          <w:sz w:val="17"/>
          <w:szCs w:val="17"/>
          <w:color w:val="000000"/>
        </w:rPr>
        <w:t xml:space="preserve">.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7"/>
          <w:szCs w:val="17"/>
          <w:u w:val="single" w:color="auto"/>
          <w:color w:val="0000ED"/>
        </w:rPr>
        <w:t>https://www.sec.gov/edgar/browse/?CIK=1097864&amp;owner=exclude</w:t>
      </w:r>
      <w:r>
        <w:rPr>
          <w:rFonts w:ascii="Times New Roman" w:cs="Times New Roman" w:eastAsia="Times New Roman" w:hAnsi="Times New Roman"/>
          <w:sz w:val="17"/>
          <w:szCs w:val="17"/>
          <w:color w:val="000000"/>
        </w:rPr>
        <w:t xml:space="preserve"> under the tab “Ownership Disclosures”. Additional information about Synaptics’ executive officers and directors and onsemi’s executive officers and directors can be found in the above-referenced Registration Statement on Form S-4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309880</wp:posOffset>
            </wp:positionV>
            <wp:extent cx="713930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9305" cy="1651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15" Type="http://schemas.openxmlformats.org/officeDocument/2006/relationships/hyperlink" Target="https://www.sec.gov/ix?doc=/Archives/edgar/data/817720/000081772025000083/syna-20250916.htm" TargetMode="External"/><Relationship Id="rId16" Type="http://schemas.openxmlformats.org/officeDocument/2006/relationships/hyperlink" Target="https://www.sec.gov/ix?doc=/Archives/edgar/data/1097864/000109786426000010/on-202604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2026-06-26T16:43:20Z</dcterms:created>
  <dcterms:modified xsi:type="dcterms:W3CDTF">2026-06-26T16:43:20Z</dcterms:modified>
</cp:coreProperties>
</file>