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May 14,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ON Semiconductor Corporation</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 xml:space="preserve">(Exact name of registrant as specified in its charter) </w:t>
      </w:r>
      <w:r>
        <w:rPr>
          <w:rFonts w:ascii="Times New Roman" w:hAnsi="Times New Roman"/>
          <w:color w:val="000000"/>
          <w:sz w:val="20"/>
          <w:shd w:fill="FFFFFF" w:val="clear"/>
        </w:rPr>
        <w: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tbl>
      <w:tblPr>
        <w:tblW w:w="6225" w:type="dxa"/>
        <w:jc w:val="left"/>
        <w:tblInd w:w="0" w:type="dxa"/>
        <w:tblLayout w:type="fixed"/>
        <w:tblCellMar>
          <w:top w:w="0" w:type="dxa"/>
          <w:left w:w="0" w:type="dxa"/>
          <w:bottom w:w="0" w:type="dxa"/>
          <w:right w:w="0" w:type="dxa"/>
        </w:tblCellMar>
      </w:tblPr>
      <w:tblGrid>
        <w:gridCol w:w="2255"/>
        <w:gridCol w:w="60"/>
        <w:gridCol w:w="2300"/>
        <w:gridCol w:w="60"/>
        <w:gridCol w:w="1550"/>
      </w:tblGrid>
      <w:tr>
        <w:trPr/>
        <w:tc>
          <w:tcPr>
            <w:tcW w:w="22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6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001-39317</w:t>
            </w:r>
          </w:p>
        </w:tc>
        <w:tc>
          <w:tcPr>
            <w:tcW w:w="6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36-3840979</w:t>
            </w:r>
          </w:p>
        </w:tc>
      </w:tr>
      <w:tr>
        <w:trPr/>
        <w:tc>
          <w:tcPr>
            <w:tcW w:w="22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w:t>
            </w:r>
          </w:p>
          <w:p>
            <w:pPr>
              <w:pStyle w:val="TableContents"/>
              <w:bidi w:val="0"/>
              <w:spacing w:before="0" w:after="0"/>
              <w:jc w:val="center"/>
              <w:rPr>
                <w:rFonts w:ascii="Times New Roman" w:hAnsi="Times New Roman"/>
                <w:b/>
                <w:sz w:val="20"/>
              </w:rPr>
            </w:pPr>
            <w:r>
              <w:rPr>
                <w:rFonts w:ascii="Times New Roman" w:hAnsi="Times New Roman"/>
                <w:b/>
                <w:sz w:val="20"/>
              </w:rPr>
              <w:t>of incorporation)</w:t>
            </w:r>
          </w:p>
        </w:tc>
        <w:tc>
          <w:tcPr>
            <w:tcW w:w="60" w:type="dxa"/>
            <w:tcBorders/>
            <w:vAlign w:val="center"/>
          </w:tcPr>
          <w:p>
            <w:pPr>
              <w:pStyle w:val="TableContents"/>
              <w:bidi w:val="0"/>
              <w:spacing w:before="0" w:after="0"/>
              <w:jc w:val="left"/>
              <w:rPr/>
            </w:pPr>
            <w:r>
              <w:rPr/>
              <w:t> </w:t>
            </w:r>
          </w:p>
        </w:tc>
        <w:tc>
          <w:tcPr>
            <w:tcW w:w="2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(Commission File Number)</w:t>
            </w:r>
          </w:p>
        </w:tc>
        <w:tc>
          <w:tcPr>
            <w:tcW w:w="60"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w:t>
            </w:r>
          </w:p>
          <w:p>
            <w:pPr>
              <w:pStyle w:val="TableContents"/>
              <w:bidi w:val="0"/>
              <w:spacing w:before="0" w:after="0"/>
              <w:jc w:val="center"/>
              <w:rPr>
                <w:rFonts w:ascii="Times New Roman" w:hAnsi="Times New Roman"/>
                <w:b/>
                <w:sz w:val="20"/>
              </w:rPr>
            </w:pPr>
            <w:r>
              <w:rPr>
                <w:rFonts w:ascii="Times New Roman" w:hAnsi="Times New Roman"/>
                <w:b/>
                <w:sz w:val="20"/>
              </w:rPr>
              <w:t>Identification No.)</w:t>
            </w:r>
          </w:p>
        </w:tc>
      </w:tr>
    </w:tbl>
    <w:p>
      <w:pPr>
        <w:pStyle w:val="TextBody"/>
        <w:bidi w:val="0"/>
        <w:spacing w:before="0" w:after="0"/>
        <w:jc w:val="left"/>
        <w:rPr>
          <w:color w:val="000000"/>
          <w:shd w:fill="FFFFFF" w:val="clear"/>
        </w:rPr>
      </w:pPr>
      <w:r>
        <w:rPr>
          <w:color w:val="000000"/>
          <w:shd w:fill="FFFFFF" w:val="clear"/>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 Semiconductor Corporation</w:t>
            </w:r>
          </w:p>
          <w:p>
            <w:pPr>
              <w:pStyle w:val="TableContents"/>
              <w:bidi w:val="0"/>
              <w:spacing w:before="0" w:after="0"/>
              <w:jc w:val="center"/>
              <w:rPr>
                <w:rFonts w:ascii="Times New Roman" w:hAnsi="Times New Roman"/>
                <w:b/>
                <w:sz w:val="20"/>
              </w:rPr>
            </w:pPr>
            <w:r>
              <w:rPr>
                <w:rFonts w:ascii="Times New Roman" w:hAnsi="Times New Roman"/>
                <w:b/>
                <w:sz w:val="20"/>
              </w:rPr>
              <w:t>5701 N. Pima Road</w:t>
            </w:r>
          </w:p>
          <w:p>
            <w:pPr>
              <w:pStyle w:val="TableContents"/>
              <w:bidi w:val="0"/>
              <w:spacing w:before="0" w:after="0"/>
              <w:jc w:val="center"/>
              <w:rPr>
                <w:rFonts w:ascii="Times New Roman" w:hAnsi="Times New Roman"/>
                <w:b/>
                <w:sz w:val="20"/>
              </w:rPr>
            </w:pPr>
            <w:r>
              <w:rPr>
                <w:rFonts w:ascii="Times New Roman" w:hAnsi="Times New Roman"/>
                <w:b/>
                <w:sz w:val="20"/>
              </w:rPr>
              <w:t>Scottsdale, Arizona</w:t>
            </w:r>
          </w:p>
        </w:tc>
        <w:tc>
          <w:tcPr>
            <w:tcW w:w="6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85250</w:t>
            </w:r>
          </w:p>
        </w:tc>
      </w:tr>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(602) 244-6600</w:t>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 xml:space="preserve">(Registrant’s telephone number, including area code) </w:t>
      </w:r>
      <w:r>
        <w:rPr>
          <w:rFonts w:ascii="Times New Roman" w:hAnsi="Times New Roman"/>
          <w:color w:val="000000"/>
          <w:sz w:val="20"/>
          <w:shd w:fill="FFFFFF" w:val="clear"/>
        </w:rPr>
        <w:t> </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pPr>
      <w:r>
        <w:rPr/>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shd w:fill="FFFFFF" w:val="clear"/>
        </w:rPr>
      </w:pPr>
      <w:r>
        <w:rPr>
          <w:color w:val="000000"/>
          <w:shd w:fill="FFFFFF" w:val="clea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0"/>
              <w:jc w:val="left"/>
              <w:rPr/>
            </w:pPr>
            <w:r>
              <w:rPr/>
              <w:t>☐</w:t>
            </w:r>
          </w:p>
        </w:tc>
        <w:tc>
          <w:tcPr>
            <w:tcW w:w="8525" w:type="dxa"/>
            <w:tcBorders/>
            <w:vAlign w:val="center"/>
          </w:tcPr>
          <w:p>
            <w:pPr>
              <w:pStyle w:val="TableContents"/>
              <w:bidi w:val="0"/>
              <w:spacing w:before="0" w:after="0"/>
              <w:jc w:val="left"/>
              <w:rPr>
                <w:rFonts w:ascii="Times New Roman" w:hAnsi="Times New Roman"/>
              </w:rPr>
            </w:pPr>
            <w:r>
              <w:rPr>
                <w:rFonts w:ascii="Times New Roman" w:hAnsi="Times New Roman"/>
              </w:rPr>
              <w:t>Written communications pursuant to Rule 425 under the Securities Act (17 CFR 230.425)</w:t>
            </w:r>
          </w:p>
        </w:tc>
      </w:tr>
    </w:tbl>
    <w:p>
      <w:pPr>
        <w:pStyle w:val="TextBody"/>
        <w:bidi w:val="0"/>
        <w:spacing w:before="0" w:after="0"/>
        <w:jc w:val="left"/>
        <w:rPr/>
      </w:pPr>
      <w:r>
        <w:rPr/>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0"/>
              <w:jc w:val="left"/>
              <w:rPr/>
            </w:pPr>
            <w:r>
              <w:rPr/>
              <w:t>☐</w:t>
            </w:r>
          </w:p>
        </w:tc>
        <w:tc>
          <w:tcPr>
            <w:tcW w:w="8555" w:type="dxa"/>
            <w:tcBorders/>
            <w:vAlign w:val="center"/>
          </w:tcPr>
          <w:p>
            <w:pPr>
              <w:pStyle w:val="TableContents"/>
              <w:bidi w:val="0"/>
              <w:spacing w:before="0" w:after="0"/>
              <w:jc w:val="left"/>
              <w:rPr>
                <w:rFonts w:ascii="Times New Roman" w:hAnsi="Times New Roman"/>
              </w:rPr>
            </w:pPr>
            <w:r>
              <w:rPr>
                <w:rFonts w:ascii="Times New Roman" w:hAnsi="Times New Roman"/>
              </w:rPr>
              <w:t>Soliciting material pursuant to Rule 14a-12 under the Exchange Act (17 CFR 240.14a-12)</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rPr>
            </w:pPr>
            <w:r>
              <w:rPr>
                <w:rFonts w:ascii="Times New Roman" w:hAnsi="Times New Roman"/>
              </w:rPr>
              <w:t>Pre-commencement communications pursuant to Rule 14d-2(b) under the Exchange Act (17 CFR 240.14d-2(b))</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rPr>
            </w:pPr>
            <w:r>
              <w:rPr>
                <w:rFonts w:ascii="Times New Roman" w:hAnsi="Times New Roman"/>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16"/>
          <w:shd w:fill="FFFFFF" w:val="clear"/>
        </w:rPr>
      </w:pPr>
      <w:r>
        <w:rPr>
          <w:rFonts w:ascii="Times New Roman" w:hAnsi="Times New Roman"/>
          <w:color w:val="000000"/>
          <w:sz w:val="20"/>
          <w:shd w:fill="FFFFFF" w:val="clear"/>
        </w:rPr>
        <w:t xml:space="preserve">Securities registered pursuant to Section 12(b) of the Act: </w:t>
      </w:r>
      <w:r>
        <w:rPr>
          <w:rFonts w:ascii="Times New Roman" w:hAnsi="Times New Roman"/>
          <w:color w:val="000000"/>
          <w:sz w:val="16"/>
          <w:shd w:fill="FFFFFF" w:val="clear"/>
        </w:rPr>
        <w:t> </w:t>
      </w:r>
    </w:p>
    <w:p>
      <w:pPr>
        <w:pStyle w:val="TextBody"/>
        <w:bidi w:val="0"/>
        <w:spacing w:before="0" w:after="0"/>
        <w:jc w:val="left"/>
        <w:rPr>
          <w:sz w:val="20"/>
        </w:rPr>
      </w:pPr>
      <w:r>
        <w:rPr>
          <w:sz w:val="20"/>
        </w:rPr>
      </w:r>
    </w:p>
    <w:tbl>
      <w:tblPr>
        <w:tblW w:w="7350" w:type="dxa"/>
        <w:jc w:val="left"/>
        <w:tblInd w:w="0" w:type="dxa"/>
        <w:tblLayout w:type="fixed"/>
        <w:tblCellMar>
          <w:top w:w="0" w:type="dxa"/>
          <w:left w:w="0" w:type="dxa"/>
          <w:bottom w:w="28" w:type="dxa"/>
          <w:right w:w="0" w:type="dxa"/>
        </w:tblCellMar>
      </w:tblPr>
      <w:tblGrid>
        <w:gridCol w:w="3575"/>
        <w:gridCol w:w="120"/>
        <w:gridCol w:w="860"/>
        <w:gridCol w:w="120"/>
        <w:gridCol w:w="267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2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120" w:type="dxa"/>
            <w:tcBorders/>
            <w:tcMar>
              <w:bottom w:w="0" w:type="dxa"/>
            </w:tcMar>
            <w:vAlign w:val="center"/>
          </w:tcPr>
          <w:p>
            <w:pPr>
              <w:pStyle w:val="TableContents"/>
              <w:bidi w:val="0"/>
              <w:spacing w:before="0" w:after="0"/>
              <w:jc w:val="left"/>
              <w:rPr>
                <w:color w:val="000000"/>
              </w:rPr>
            </w:pPr>
            <w:r>
              <w:rPr>
                <w:color w:val="000000"/>
              </w:rPr>
              <w:t>  </w:t>
            </w:r>
          </w:p>
        </w:tc>
        <w:tc>
          <w:tcPr>
            <w:tcW w:w="267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57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20" w:type="dxa"/>
            <w:tcBorders/>
            <w:tcMar>
              <w:bottom w:w="0" w:type="dxa"/>
            </w:tcMar>
            <w:vAlign w:val="center"/>
          </w:tcPr>
          <w:p>
            <w:pPr>
              <w:pStyle w:val="TableContents"/>
              <w:bidi w:val="0"/>
              <w:spacing w:before="0" w:after="0"/>
              <w:jc w:val="left"/>
              <w:rPr>
                <w:color w:val="000000"/>
              </w:rPr>
            </w:pPr>
            <w:r>
              <w:rPr>
                <w:color w:val="000000"/>
              </w:rPr>
              <w:t>  </w:t>
            </w:r>
          </w:p>
        </w:tc>
        <w:tc>
          <w:tcPr>
            <w:tcW w:w="860"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w:t>
            </w:r>
          </w:p>
        </w:tc>
        <w:tc>
          <w:tcPr>
            <w:tcW w:w="120" w:type="dxa"/>
            <w:tcBorders/>
            <w:tcMar>
              <w:bottom w:w="0" w:type="dxa"/>
            </w:tcMar>
            <w:vAlign w:val="center"/>
          </w:tcPr>
          <w:p>
            <w:pPr>
              <w:pStyle w:val="TableContents"/>
              <w:bidi w:val="0"/>
              <w:spacing w:before="0" w:after="0"/>
              <w:jc w:val="left"/>
              <w:rPr>
                <w:color w:val="000000"/>
              </w:rPr>
            </w:pPr>
            <w:r>
              <w:rPr>
                <w:color w:val="000000"/>
              </w:rPr>
              <w:t>  </w:t>
            </w:r>
          </w:p>
        </w:tc>
        <w:tc>
          <w:tcPr>
            <w:tcW w:w="2675" w:type="dxa"/>
            <w:tcBorders/>
            <w:tcMar>
              <w:bottom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4"/>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(17 CFR §230.405) or Rule 12b-2 of the Securities Exchange Act of 1934 (17 CFR §240.12b-2).</w:t>
        <w:br/>
        <w:br/>
        <w:t xml:space="preserve">Emerging growth company  </w:t>
      </w:r>
      <w:r>
        <w:rPr>
          <w:rFonts w:ascii="Times New Roman" w:hAnsi="Times New Roman"/>
          <w:color w:val="000000"/>
          <w:sz w:val="24"/>
          <w:shd w:fill="FFFFFF" w:val="clear"/>
        </w:rPr>
        <w:t>☐</w:t>
      </w:r>
      <w:r>
        <w:rPr>
          <w:rFonts w:ascii="Times New Roman" w:hAnsi="Times New Roman"/>
          <w:color w:val="000000"/>
          <w:sz w:val="20"/>
          <w:shd w:fill="FFFFFF" w:val="clear"/>
        </w:rPr>
        <w:br/>
        <w:b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ind w:left="1350" w:right="0" w:hanging="1350"/>
        <w:jc w:val="both"/>
        <w:rPr>
          <w:rFonts w:ascii="Times New Roman" w:hAnsi="Times New Roman"/>
          <w:b/>
          <w:color w:val="000000"/>
          <w:sz w:val="20"/>
          <w:shd w:fill="FFFFFF" w:val="clear"/>
        </w:rPr>
      </w:pPr>
      <w:r>
        <w:rPr>
          <w:rFonts w:ascii="Times New Roman" w:hAnsi="Times New Roman"/>
          <w:b/>
          <w:color w:val="000000"/>
          <w:sz w:val="20"/>
          <w:shd w:fill="FFFFFF" w:val="clear"/>
        </w:rPr>
        <w:t>Item 5.02.        Departure of Directors or Certain Officers; Election of Directors; Appointment of Certain Officers; Compensatory Arrangements of Certain Officers.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 As previously disclosed by ON Semiconductor Corporation (the “</w:t>
      </w:r>
      <w:r>
        <w:rPr>
          <w:rFonts w:ascii="Times New Roman" w:hAnsi="Times New Roman"/>
          <w:b/>
          <w:i/>
          <w:color w:val="000000"/>
          <w:sz w:val="20"/>
          <w:shd w:fill="FFFFFF" w:val="clear"/>
        </w:rPr>
        <w:t>Company</w:t>
      </w:r>
      <w:r>
        <w:rPr>
          <w:rFonts w:ascii="Times New Roman" w:hAnsi="Times New Roman"/>
          <w:color w:val="000000"/>
          <w:sz w:val="20"/>
          <w:shd w:fill="FFFFFF" w:val="clear"/>
        </w:rPr>
        <w:t>” and, together with its affiliates, “</w:t>
      </w:r>
      <w:r>
        <w:rPr>
          <w:rFonts w:ascii="Times New Roman" w:hAnsi="Times New Roman"/>
          <w:b/>
          <w:i/>
          <w:color w:val="000000"/>
          <w:sz w:val="20"/>
          <w:shd w:fill="FFFFFF" w:val="clear"/>
        </w:rPr>
        <w:t>onsemi</w:t>
      </w:r>
      <w:r>
        <w:rPr>
          <w:rFonts w:ascii="Times New Roman" w:hAnsi="Times New Roman"/>
          <w:color w:val="000000"/>
          <w:sz w:val="20"/>
          <w:shd w:fill="FFFFFF" w:val="clear"/>
        </w:rPr>
        <w:t>”), Simon Keeton, the former Group President, Power Solutions Group, of onsemi, stepped down from all officer positions with onsemi effective March 9, 2026, as mutually agreed between the parties. Mr. Keeton’s final day of full employment with onsemi was ​expected to be June 30, 2026; however, on May 14, 2026, onsemi and Mr. Keeton agreed to extend his last day of employment to September 30, 2026, in order to support an orderly transition to his successor.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b/>
          <w:color w:val="000000"/>
          <w:sz w:val="20"/>
          <w:shd w:fill="FFFFFF" w:val="clear"/>
        </w:rPr>
        <w:t>Item 5.07.</w:t>
      </w:r>
      <w:r>
        <w:rPr>
          <w:rFonts w:ascii="Times New Roman" w:hAnsi="Times New Roman"/>
          <w:color w:val="000000"/>
          <w:sz w:val="20"/>
          <w:shd w:fill="FFFFFF" w:val="clear"/>
        </w:rPr>
        <w:t>          </w:t>
      </w:r>
      <w:r>
        <w:rPr>
          <w:rFonts w:ascii="Times New Roman" w:hAnsi="Times New Roman"/>
          <w:b/>
          <w:color w:val="000000"/>
          <w:sz w:val="20"/>
          <w:shd w:fill="FFFFFF" w:val="clear"/>
        </w:rPr>
        <w:t>Submission of Matters to a Vote of Security 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The 2026 Annual Meeting of Stockholders (the “</w:t>
      </w:r>
      <w:r>
        <w:rPr>
          <w:rFonts w:ascii="Times New Roman" w:hAnsi="Times New Roman"/>
          <w:b/>
          <w:i/>
          <w:color w:val="000000"/>
          <w:sz w:val="20"/>
          <w:shd w:fill="FFFFFF" w:val="clear"/>
        </w:rPr>
        <w:t>Annual Meeting</w:t>
      </w:r>
      <w:r>
        <w:rPr>
          <w:rFonts w:ascii="Times New Roman" w:hAnsi="Times New Roman"/>
          <w:color w:val="000000"/>
          <w:sz w:val="20"/>
          <w:shd w:fill="FFFFFF" w:val="clear"/>
        </w:rPr>
        <w:t>”) of the Company was held on May 14, 2026. The proposals submitted to the stockholders of the Company at the Annual Meeting and the final voting results for each are set forth below. The proposals are described in detail in the Company’s definitive proxy statement filed with the Securities and Exchange Commission on April 2,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(b) </w:t>
      </w:r>
      <w:r>
        <w:rPr>
          <w:rFonts w:ascii="Times New Roman" w:hAnsi="Times New Roman"/>
          <w:b/>
          <w:color w:val="000000"/>
          <w:sz w:val="20"/>
          <w:shd w:fill="FFFFFF" w:val="clear"/>
        </w:rPr>
        <w:t>Proposal No. 1.</w:t>
      </w:r>
      <w:r>
        <w:rPr>
          <w:rFonts w:ascii="Times New Roman" w:hAnsi="Times New Roman"/>
          <w:color w:val="000000"/>
          <w:sz w:val="20"/>
          <w:shd w:fill="FFFFFF" w:val="clear"/>
        </w:rPr>
        <w:t xml:space="preserve"> The Company’s stockholders elected seven directors of the Company, each for a one-year term expiring at the 2027 annual meeting of stockholders and until their successors are duly elected and qualified, or until the earlier time of their death, resignation or removal, as set forth below:</w:t>
      </w:r>
    </w:p>
    <w:p>
      <w:pPr>
        <w:pStyle w:val="TextBody"/>
        <w:bidi w:val="0"/>
        <w:spacing w:before="0" w:after="0"/>
        <w:jc w:val="left"/>
        <w:rPr>
          <w:sz w:val="20"/>
        </w:rPr>
      </w:pPr>
      <w:r>
        <w:rPr>
          <w:sz w:val="20"/>
        </w:rPr>
      </w:r>
    </w:p>
    <w:tbl>
      <w:tblPr>
        <w:tblW w:w="6385" w:type="dxa"/>
        <w:jc w:val="left"/>
        <w:tblInd w:w="-15" w:type="dxa"/>
        <w:tblLayout w:type="fixed"/>
        <w:tblCellMar>
          <w:top w:w="28" w:type="dxa"/>
          <w:left w:w="28" w:type="dxa"/>
          <w:bottom w:w="28" w:type="dxa"/>
          <w:right w:w="28" w:type="dxa"/>
        </w:tblCellMar>
      </w:tblPr>
      <w:tblGrid>
        <w:gridCol w:w="1595"/>
        <w:gridCol w:w="60"/>
        <w:gridCol w:w="1055"/>
        <w:gridCol w:w="60"/>
        <w:gridCol w:w="950"/>
        <w:gridCol w:w="60"/>
        <w:gridCol w:w="995"/>
        <w:gridCol w:w="60"/>
        <w:gridCol w:w="1550"/>
      </w:tblGrid>
      <w:tr>
        <w:trPr/>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0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For</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9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Against</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9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Broker Non-Votes</w:t>
            </w:r>
          </w:p>
        </w:tc>
      </w:tr>
      <w:tr>
        <w:trPr/>
        <w:tc>
          <w:tcPr>
            <w:tcW w:w="15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Susan K. Carter</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329,795,834</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11,686,093</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317,809</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Thomas L. Deitrich</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327,348,905</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14,326,260</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124,571</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Hassane El-Khoury</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340,627,665</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1,064,027</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108,044</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Bruce E. Kiddoo</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325,217,404</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16,200,456</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381,876</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Paul A. Mascarenas</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316,236,898</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25,196,264</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366,574</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Gregory L. Waters</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335,736,767</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5,941,716</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121,253</w:t>
            </w:r>
          </w:p>
        </w:tc>
        <w:tc>
          <w:tcPr>
            <w:tcW w:w="6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r>
        <w:trPr/>
        <w:tc>
          <w:tcPr>
            <w:tcW w:w="15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ind w:left="200" w:right="0" w:hanging="0"/>
              <w:jc w:val="left"/>
              <w:rPr>
                <w:rFonts w:ascii="Times New Roman" w:hAnsi="Times New Roman"/>
                <w:sz w:val="20"/>
              </w:rPr>
            </w:pPr>
            <w:r>
              <w:rPr>
                <w:rFonts w:ascii="Times New Roman" w:hAnsi="Times New Roman"/>
                <w:sz w:val="20"/>
              </w:rPr>
              <w:t>Christine Y. Yan</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315,466,839</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26,206,130</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126,767</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19,260,396</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Proposal No. 2.</w:t>
      </w:r>
      <w:r>
        <w:rPr>
          <w:rFonts w:ascii="Times New Roman" w:hAnsi="Times New Roman"/>
          <w:color w:val="000000"/>
          <w:sz w:val="20"/>
          <w:shd w:fill="FFFFFF" w:val="clear"/>
        </w:rPr>
        <w:t xml:space="preserve"> The Company’s stockholders approved the advisory (non-binding) resolution to approve the compensation of the Company’s named executive officers, as set forth below:</w:t>
      </w:r>
    </w:p>
    <w:p>
      <w:pPr>
        <w:pStyle w:val="TextBody"/>
        <w:bidi w:val="0"/>
        <w:spacing w:before="0" w:after="0"/>
        <w:jc w:val="left"/>
        <w:rPr>
          <w:sz w:val="20"/>
        </w:rPr>
      </w:pPr>
      <w:r>
        <w:rPr>
          <w:sz w:val="20"/>
        </w:rPr>
      </w:r>
    </w:p>
    <w:tbl>
      <w:tblPr>
        <w:tblW w:w="4955" w:type="dxa"/>
        <w:jc w:val="left"/>
        <w:tblInd w:w="-15" w:type="dxa"/>
        <w:tblLayout w:type="fixed"/>
        <w:tblCellMar>
          <w:top w:w="28" w:type="dxa"/>
          <w:left w:w="28" w:type="dxa"/>
          <w:bottom w:w="28" w:type="dxa"/>
          <w:right w:w="28" w:type="dxa"/>
        </w:tblCellMar>
      </w:tblPr>
      <w:tblGrid>
        <w:gridCol w:w="1055"/>
        <w:gridCol w:w="60"/>
        <w:gridCol w:w="1175"/>
        <w:gridCol w:w="60"/>
        <w:gridCol w:w="995"/>
        <w:gridCol w:w="60"/>
        <w:gridCol w:w="1550"/>
      </w:tblGrid>
      <w:tr>
        <w:trPr/>
        <w:tc>
          <w:tcPr>
            <w:tcW w:w="10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9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55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Broker Non-Votes</w:t>
            </w:r>
          </w:p>
        </w:tc>
      </w:tr>
      <w:tr>
        <w:trPr/>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320,342,318</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21,118,000</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339,418</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5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19,260,396</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Proposal No. 3.</w:t>
      </w:r>
      <w:r>
        <w:rPr>
          <w:rFonts w:ascii="Times New Roman" w:hAnsi="Times New Roman"/>
          <w:color w:val="000000"/>
          <w:sz w:val="20"/>
          <w:shd w:fill="FFFFFF" w:val="clear"/>
        </w:rPr>
        <w:t xml:space="preserve"> The Company’s stockholders ratified the selection of PricewaterhouseCoopers LLP as the Company’s independent registered public accounting firm for the year ending December 31, 2026, as set forth below:</w:t>
      </w:r>
    </w:p>
    <w:p>
      <w:pPr>
        <w:pStyle w:val="TextBody"/>
        <w:bidi w:val="0"/>
        <w:spacing w:before="0" w:after="0"/>
        <w:jc w:val="left"/>
        <w:rPr>
          <w:color w:val="000000"/>
          <w:shd w:fill="FFFFFF" w:val="clear"/>
        </w:rPr>
      </w:pPr>
      <w:r>
        <w:rPr>
          <w:color w:val="000000"/>
          <w:shd w:fill="FFFFFF" w:val="clear"/>
        </w:rPr>
        <w:t> </w:t>
      </w:r>
    </w:p>
    <w:tbl>
      <w:tblPr>
        <w:tblW w:w="3345" w:type="dxa"/>
        <w:jc w:val="left"/>
        <w:tblInd w:w="-15" w:type="dxa"/>
        <w:tblLayout w:type="fixed"/>
        <w:tblCellMar>
          <w:top w:w="28" w:type="dxa"/>
          <w:left w:w="28" w:type="dxa"/>
          <w:bottom w:w="28" w:type="dxa"/>
          <w:right w:w="28" w:type="dxa"/>
        </w:tblCellMar>
      </w:tblPr>
      <w:tblGrid>
        <w:gridCol w:w="1055"/>
        <w:gridCol w:w="60"/>
        <w:gridCol w:w="1175"/>
        <w:gridCol w:w="60"/>
        <w:gridCol w:w="995"/>
      </w:tblGrid>
      <w:tr>
        <w:trPr/>
        <w:tc>
          <w:tcPr>
            <w:tcW w:w="10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9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r>
      <w:tr>
        <w:trPr/>
        <w:tc>
          <w:tcPr>
            <w:tcW w:w="105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337,232,526</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23,674,928</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152,678</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Proposal No. 4.</w:t>
      </w:r>
      <w:r>
        <w:rPr>
          <w:rFonts w:ascii="Times New Roman" w:hAnsi="Times New Roman"/>
          <w:color w:val="000000"/>
          <w:sz w:val="20"/>
          <w:shd w:fill="FFFFFF" w:val="clear"/>
        </w:rPr>
        <w:t xml:space="preserve"> The Company’s stockholders approved the stockholder proposal regarding simple majority voting, as set forth below:</w:t>
      </w:r>
    </w:p>
    <w:p>
      <w:pPr>
        <w:pStyle w:val="TextBody"/>
        <w:bidi w:val="0"/>
        <w:spacing w:before="0" w:after="0"/>
        <w:jc w:val="left"/>
        <w:rPr>
          <w:color w:val="000000"/>
          <w:shd w:fill="FFFFFF" w:val="clear"/>
        </w:rPr>
      </w:pPr>
      <w:r>
        <w:rPr>
          <w:color w:val="000000"/>
          <w:shd w:fill="FFFFFF" w:val="clear"/>
        </w:rPr>
        <w:t> </w:t>
      </w:r>
    </w:p>
    <w:tbl>
      <w:tblPr>
        <w:tblW w:w="4985" w:type="dxa"/>
        <w:jc w:val="left"/>
        <w:tblInd w:w="-15" w:type="dxa"/>
        <w:tblLayout w:type="fixed"/>
        <w:tblCellMar>
          <w:top w:w="28" w:type="dxa"/>
          <w:left w:w="28" w:type="dxa"/>
          <w:bottom w:w="28" w:type="dxa"/>
          <w:right w:w="28" w:type="dxa"/>
        </w:tblCellMar>
      </w:tblPr>
      <w:tblGrid>
        <w:gridCol w:w="1070"/>
        <w:gridCol w:w="60"/>
        <w:gridCol w:w="1175"/>
        <w:gridCol w:w="60"/>
        <w:gridCol w:w="995"/>
        <w:gridCol w:w="60"/>
        <w:gridCol w:w="1565"/>
      </w:tblGrid>
      <w:tr>
        <w:trPr/>
        <w:tc>
          <w:tcPr>
            <w:tcW w:w="107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For</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1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Votes Against</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9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Abstentions</w:t>
            </w:r>
          </w:p>
        </w:tc>
        <w:tc>
          <w:tcPr>
            <w:tcW w:w="6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left"/>
              <w:rPr>
                <w:color w:val="000000"/>
              </w:rPr>
            </w:pPr>
            <w:r>
              <w:rPr>
                <w:color w:val="000000"/>
              </w:rPr>
              <w:t> </w:t>
            </w:r>
          </w:p>
        </w:tc>
        <w:tc>
          <w:tcPr>
            <w:tcW w:w="156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Broker Non-Votes</w:t>
            </w:r>
          </w:p>
        </w:tc>
      </w:tr>
      <w:tr>
        <w:trPr/>
        <w:tc>
          <w:tcPr>
            <w:tcW w:w="107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333,533,083</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17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3,866,836</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99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3,308,903</w:t>
            </w:r>
          </w:p>
        </w:tc>
        <w:tc>
          <w:tcPr>
            <w:tcW w:w="60"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283"/>
              <w:jc w:val="left"/>
              <w:rPr/>
            </w:pPr>
            <w:r>
              <w:rPr/>
              <w:t> </w:t>
            </w:r>
          </w:p>
        </w:tc>
        <w:tc>
          <w:tcPr>
            <w:tcW w:w="1565" w:type="dxa"/>
            <w:tcBorders>
              <w:left w:val="single" w:sz="12" w:space="0" w:color="000000"/>
              <w:bottom w:val="single" w:sz="12" w:space="0" w:color="000000"/>
              <w:right w:val="single" w:sz="12" w:space="0" w:color="000000"/>
            </w:tcBorders>
            <w:shd w:fill="CCECFF"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20,351,310</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6510" w:type="dxa"/>
        <w:jc w:val="left"/>
        <w:tblInd w:w="0" w:type="dxa"/>
        <w:tblLayout w:type="fixed"/>
        <w:tblCellMar>
          <w:top w:w="0" w:type="dxa"/>
          <w:left w:w="0" w:type="dxa"/>
          <w:bottom w:w="0" w:type="dxa"/>
          <w:right w:w="0" w:type="dxa"/>
        </w:tblCellMar>
      </w:tblPr>
      <w:tblGrid>
        <w:gridCol w:w="1640"/>
        <w:gridCol w:w="320"/>
        <w:gridCol w:w="4550"/>
      </w:tblGrid>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SEMICONDUCTOR CORPORATION</w:t>
            </w:r>
          </w:p>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May 18, 2026</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455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Paul Dutton</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Dutton</w:t>
              <w:br/>
              <w:t>Senior Vice President, Chief Legal Officer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754</Words>
  <Characters>4333</Characters>
  <CharactersWithSpaces>5071</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